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4EB2" w14:textId="4063A029" w:rsidR="00190846" w:rsidRDefault="00CC7A6B">
      <w:r>
        <w:rPr>
          <w:noProof/>
        </w:rPr>
        <w:drawing>
          <wp:anchor distT="0" distB="0" distL="114300" distR="114300" simplePos="0" relativeHeight="251658240" behindDoc="0" locked="0" layoutInCell="1" allowOverlap="1" wp14:anchorId="490421F5" wp14:editId="5F2E66E3">
            <wp:simplePos x="0" y="0"/>
            <wp:positionH relativeFrom="margin">
              <wp:align>center</wp:align>
            </wp:positionH>
            <wp:positionV relativeFrom="paragraph">
              <wp:posOffset>-219075</wp:posOffset>
            </wp:positionV>
            <wp:extent cx="3714750" cy="1238742"/>
            <wp:effectExtent l="0" t="0" r="0" b="0"/>
            <wp:wrapNone/>
            <wp:docPr id="159960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02218" name="Picture 15996022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750" cy="1238742"/>
                    </a:xfrm>
                    <a:prstGeom prst="rect">
                      <a:avLst/>
                    </a:prstGeom>
                  </pic:spPr>
                </pic:pic>
              </a:graphicData>
            </a:graphic>
            <wp14:sizeRelH relativeFrom="margin">
              <wp14:pctWidth>0</wp14:pctWidth>
            </wp14:sizeRelH>
            <wp14:sizeRelV relativeFrom="margin">
              <wp14:pctHeight>0</wp14:pctHeight>
            </wp14:sizeRelV>
          </wp:anchor>
        </w:drawing>
      </w:r>
    </w:p>
    <w:p w14:paraId="5A0BE2B9" w14:textId="77777777" w:rsidR="00190846" w:rsidRPr="00190846" w:rsidRDefault="00190846" w:rsidP="00190846"/>
    <w:p w14:paraId="1505B345" w14:textId="77777777" w:rsidR="00190846" w:rsidRPr="00190846" w:rsidRDefault="00190846" w:rsidP="00190846"/>
    <w:p w14:paraId="1C347BF6" w14:textId="77777777" w:rsidR="00C14264" w:rsidRDefault="00C14264" w:rsidP="00C14264">
      <w:pPr>
        <w:jc w:val="center"/>
        <w:rPr>
          <w:b/>
          <w:bCs/>
          <w:sz w:val="36"/>
          <w:szCs w:val="36"/>
        </w:rPr>
      </w:pPr>
    </w:p>
    <w:p w14:paraId="04E6CF6C" w14:textId="77777777" w:rsidR="00C14264" w:rsidRDefault="00C14264" w:rsidP="00C14264">
      <w:pPr>
        <w:jc w:val="center"/>
        <w:rPr>
          <w:b/>
          <w:bCs/>
          <w:sz w:val="36"/>
          <w:szCs w:val="36"/>
        </w:rPr>
      </w:pPr>
    </w:p>
    <w:p w14:paraId="16BB0C4D" w14:textId="31CF9DD5" w:rsidR="00190846" w:rsidRDefault="00C14264" w:rsidP="00C14264">
      <w:pPr>
        <w:jc w:val="center"/>
        <w:rPr>
          <w:b/>
          <w:bCs/>
          <w:sz w:val="36"/>
          <w:szCs w:val="36"/>
        </w:rPr>
      </w:pPr>
      <w:r w:rsidRPr="00C14264">
        <w:rPr>
          <w:b/>
          <w:bCs/>
          <w:sz w:val="36"/>
          <w:szCs w:val="36"/>
        </w:rPr>
        <w:t>Advanced Nurse Practitioner (ANP)</w:t>
      </w:r>
    </w:p>
    <w:p w14:paraId="417DC711" w14:textId="77777777" w:rsidR="00C14264" w:rsidRPr="00C14264" w:rsidRDefault="00C14264" w:rsidP="00C14264">
      <w:pPr>
        <w:jc w:val="center"/>
      </w:pPr>
    </w:p>
    <w:p w14:paraId="67345DB1" w14:textId="130532A6" w:rsidR="00C14264" w:rsidRPr="00C14264" w:rsidRDefault="00C14264" w:rsidP="00C14264">
      <w:r w:rsidRPr="00C14264">
        <w:t xml:space="preserve">The Advanced Nurse Practitioner (ANP) is a senior clinical role within the practice multidisciplinary team. The ANP is an experienced, NMC-registered nurse who has completed education to </w:t>
      </w:r>
      <w:proofErr w:type="gramStart"/>
      <w:r w:rsidRPr="00C14264">
        <w:t>Master's</w:t>
      </w:r>
      <w:proofErr w:type="gramEnd"/>
      <w:r w:rsidRPr="00C14264">
        <w:t xml:space="preserve"> level in advanced clinical practice and holds an independent prescriber qualification (V300), enabling them to assess, diagnose, treat, and prescribe autonomously for patients presenting with undifferentiated and undiagnosed conditions. The role operates across the four pillars of advanced practice — clinical practice, leadership, education, and research — and functions at a level comparable to a GP for many primary care presentations.</w:t>
      </w:r>
    </w:p>
    <w:p w14:paraId="3A24CD4A" w14:textId="77777777" w:rsidR="002A7828" w:rsidRDefault="002A7828" w:rsidP="002A7828">
      <w:pPr>
        <w:rPr>
          <w:rFonts w:asciiTheme="minorHAnsi" w:hAnsiTheme="minorHAnsi" w:cstheme="minorHAnsi"/>
          <w:sz w:val="20"/>
          <w:szCs w:val="20"/>
        </w:rPr>
      </w:pPr>
    </w:p>
    <w:p w14:paraId="158425F2" w14:textId="2D57BF31" w:rsidR="00C14264" w:rsidRPr="00C14264" w:rsidRDefault="00C14264" w:rsidP="002A7828">
      <w:pPr>
        <w:rPr>
          <w:rFonts w:asciiTheme="minorHAnsi" w:hAnsiTheme="minorHAnsi" w:cstheme="minorHAnsi"/>
          <w:b/>
          <w:bCs/>
        </w:rPr>
      </w:pPr>
      <w:r w:rsidRPr="00C14264">
        <w:rPr>
          <w:rFonts w:asciiTheme="minorHAnsi" w:hAnsiTheme="minorHAnsi" w:cstheme="minorHAnsi"/>
          <w:b/>
          <w:bCs/>
        </w:rPr>
        <w:t>Key Details</w:t>
      </w:r>
    </w:p>
    <w:tbl>
      <w:tblPr>
        <w:tblW w:w="10347"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2834"/>
        <w:gridCol w:w="7513"/>
      </w:tblGrid>
      <w:tr w:rsidR="00C14264" w:rsidRPr="00C14264" w14:paraId="3EC100DC"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2C9C3C23" w14:textId="77777777" w:rsidR="00C14264" w:rsidRPr="00C14264" w:rsidRDefault="00C14264" w:rsidP="005F3199">
            <w:pPr>
              <w:rPr>
                <w:rFonts w:cs="Calibri"/>
              </w:rPr>
            </w:pPr>
            <w:r w:rsidRPr="00C14264">
              <w:rPr>
                <w:rFonts w:cs="Calibri"/>
                <w:b/>
              </w:rPr>
              <w:t>Job title</w:t>
            </w:r>
          </w:p>
        </w:tc>
        <w:tc>
          <w:tcPr>
            <w:tcW w:w="7513" w:type="dxa"/>
            <w:tcBorders>
              <w:top w:val="single" w:sz="1" w:space="0" w:color="000000"/>
              <w:left w:val="single" w:sz="1" w:space="0" w:color="000000"/>
              <w:bottom w:val="single" w:sz="1" w:space="0" w:color="000000"/>
              <w:right w:val="single" w:sz="1" w:space="0" w:color="000000"/>
            </w:tcBorders>
          </w:tcPr>
          <w:p w14:paraId="00BBC6A9" w14:textId="77777777" w:rsidR="00C14264" w:rsidRPr="00C14264" w:rsidRDefault="00C14264" w:rsidP="005F3199">
            <w:pPr>
              <w:rPr>
                <w:rFonts w:cs="Calibri"/>
              </w:rPr>
            </w:pPr>
            <w:r w:rsidRPr="00C14264">
              <w:rPr>
                <w:rFonts w:cs="Calibri"/>
              </w:rPr>
              <w:t>Advanced Nurse Practitioner</w:t>
            </w:r>
          </w:p>
        </w:tc>
      </w:tr>
      <w:tr w:rsidR="00C14264" w:rsidRPr="00C14264" w14:paraId="2877289D"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0D4ACBFF" w14:textId="77777777" w:rsidR="00C14264" w:rsidRPr="00C14264" w:rsidRDefault="00C14264" w:rsidP="005F3199">
            <w:pPr>
              <w:rPr>
                <w:rFonts w:cs="Calibri"/>
              </w:rPr>
            </w:pPr>
            <w:r w:rsidRPr="00C14264">
              <w:rPr>
                <w:rFonts w:cs="Calibri"/>
                <w:b/>
              </w:rPr>
              <w:t>Reports to</w:t>
            </w:r>
          </w:p>
        </w:tc>
        <w:tc>
          <w:tcPr>
            <w:tcW w:w="7513" w:type="dxa"/>
            <w:tcBorders>
              <w:top w:val="single" w:sz="1" w:space="0" w:color="000000"/>
              <w:left w:val="single" w:sz="1" w:space="0" w:color="000000"/>
              <w:bottom w:val="single" w:sz="1" w:space="0" w:color="000000"/>
              <w:right w:val="single" w:sz="1" w:space="0" w:color="000000"/>
            </w:tcBorders>
          </w:tcPr>
          <w:p w14:paraId="0980ACF0" w14:textId="77777777" w:rsidR="00C14264" w:rsidRPr="00C14264" w:rsidRDefault="00C14264" w:rsidP="005F3199">
            <w:pPr>
              <w:rPr>
                <w:rFonts w:cs="Calibri"/>
              </w:rPr>
            </w:pPr>
            <w:r w:rsidRPr="00C14264">
              <w:rPr>
                <w:rFonts w:cs="Calibri"/>
              </w:rPr>
              <w:t>Lead Nurse Practitioner</w:t>
            </w:r>
          </w:p>
        </w:tc>
      </w:tr>
      <w:tr w:rsidR="00C14264" w:rsidRPr="00C14264" w14:paraId="6293F244"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7E5DD610" w14:textId="77777777" w:rsidR="00C14264" w:rsidRPr="00C14264" w:rsidRDefault="00C14264" w:rsidP="005F3199">
            <w:pPr>
              <w:rPr>
                <w:rFonts w:cs="Calibri"/>
              </w:rPr>
            </w:pPr>
            <w:r w:rsidRPr="00C14264">
              <w:rPr>
                <w:rFonts w:cs="Calibri"/>
                <w:b/>
              </w:rPr>
              <w:t>Band / grade</w:t>
            </w:r>
          </w:p>
        </w:tc>
        <w:tc>
          <w:tcPr>
            <w:tcW w:w="7513" w:type="dxa"/>
            <w:tcBorders>
              <w:top w:val="single" w:sz="1" w:space="0" w:color="000000"/>
              <w:left w:val="single" w:sz="1" w:space="0" w:color="000000"/>
              <w:bottom w:val="single" w:sz="1" w:space="0" w:color="000000"/>
              <w:right w:val="single" w:sz="1" w:space="0" w:color="000000"/>
            </w:tcBorders>
          </w:tcPr>
          <w:p w14:paraId="70EA2B81" w14:textId="68A363DC" w:rsidR="00C14264" w:rsidRPr="00C14264" w:rsidRDefault="00C14264" w:rsidP="005F3199">
            <w:pPr>
              <w:rPr>
                <w:rFonts w:cs="Calibri"/>
              </w:rPr>
            </w:pPr>
            <w:r w:rsidRPr="00C14264">
              <w:rPr>
                <w:rFonts w:cs="Calibri"/>
              </w:rPr>
              <w:t>Band 7</w:t>
            </w:r>
          </w:p>
        </w:tc>
      </w:tr>
      <w:tr w:rsidR="00C14264" w:rsidRPr="00C14264" w14:paraId="6EE02CF4"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60C20506" w14:textId="77777777" w:rsidR="00C14264" w:rsidRPr="00C14264" w:rsidRDefault="00C14264" w:rsidP="005F3199">
            <w:pPr>
              <w:rPr>
                <w:rFonts w:cs="Calibri"/>
              </w:rPr>
            </w:pPr>
            <w:r w:rsidRPr="00C14264">
              <w:rPr>
                <w:rFonts w:cs="Calibri"/>
                <w:b/>
              </w:rPr>
              <w:t>Salary</w:t>
            </w:r>
          </w:p>
        </w:tc>
        <w:tc>
          <w:tcPr>
            <w:tcW w:w="7513" w:type="dxa"/>
            <w:tcBorders>
              <w:top w:val="single" w:sz="1" w:space="0" w:color="000000"/>
              <w:left w:val="single" w:sz="1" w:space="0" w:color="000000"/>
              <w:bottom w:val="single" w:sz="1" w:space="0" w:color="000000"/>
              <w:right w:val="single" w:sz="1" w:space="0" w:color="000000"/>
            </w:tcBorders>
          </w:tcPr>
          <w:p w14:paraId="0E47ADB8" w14:textId="77777777" w:rsidR="00C14264" w:rsidRPr="00C14264" w:rsidRDefault="00C14264" w:rsidP="005F3199">
            <w:pPr>
              <w:rPr>
                <w:rFonts w:cs="Calibri"/>
              </w:rPr>
            </w:pPr>
            <w:r w:rsidRPr="00C14264">
              <w:rPr>
                <w:rFonts w:cs="Calibri"/>
              </w:rPr>
              <w:t>Depending on experience</w:t>
            </w:r>
          </w:p>
        </w:tc>
      </w:tr>
      <w:tr w:rsidR="00C14264" w:rsidRPr="00C14264" w14:paraId="19DCED1C"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292986ED" w14:textId="77777777" w:rsidR="00C14264" w:rsidRPr="00C14264" w:rsidRDefault="00C14264" w:rsidP="005F3199">
            <w:pPr>
              <w:rPr>
                <w:rFonts w:cs="Calibri"/>
              </w:rPr>
            </w:pPr>
            <w:r w:rsidRPr="00C14264">
              <w:rPr>
                <w:rFonts w:cs="Calibri"/>
                <w:b/>
              </w:rPr>
              <w:t>Hours</w:t>
            </w:r>
          </w:p>
        </w:tc>
        <w:tc>
          <w:tcPr>
            <w:tcW w:w="7513" w:type="dxa"/>
            <w:tcBorders>
              <w:top w:val="single" w:sz="1" w:space="0" w:color="000000"/>
              <w:left w:val="single" w:sz="1" w:space="0" w:color="000000"/>
              <w:bottom w:val="single" w:sz="1" w:space="0" w:color="000000"/>
              <w:right w:val="single" w:sz="1" w:space="0" w:color="000000"/>
            </w:tcBorders>
          </w:tcPr>
          <w:p w14:paraId="3929F65C" w14:textId="77777777" w:rsidR="00C14264" w:rsidRPr="00C14264" w:rsidRDefault="00C14264" w:rsidP="005F3199">
            <w:pPr>
              <w:rPr>
                <w:rFonts w:cs="Calibri"/>
              </w:rPr>
            </w:pPr>
            <w:r w:rsidRPr="00C14264">
              <w:rPr>
                <w:rFonts w:cs="Calibri"/>
              </w:rPr>
              <w:t>28.5 hours per week</w:t>
            </w:r>
          </w:p>
        </w:tc>
      </w:tr>
      <w:tr w:rsidR="00C14264" w:rsidRPr="00C14264" w14:paraId="3783535E"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4B80FBCD" w14:textId="77777777" w:rsidR="00C14264" w:rsidRPr="00C14264" w:rsidRDefault="00C14264" w:rsidP="005F3199">
            <w:pPr>
              <w:rPr>
                <w:rFonts w:cs="Calibri"/>
              </w:rPr>
            </w:pPr>
            <w:r w:rsidRPr="00C14264">
              <w:rPr>
                <w:rFonts w:cs="Calibri"/>
                <w:b/>
              </w:rPr>
              <w:t>Contract type</w:t>
            </w:r>
          </w:p>
        </w:tc>
        <w:tc>
          <w:tcPr>
            <w:tcW w:w="7513" w:type="dxa"/>
            <w:tcBorders>
              <w:top w:val="single" w:sz="1" w:space="0" w:color="000000"/>
              <w:left w:val="single" w:sz="1" w:space="0" w:color="000000"/>
              <w:bottom w:val="single" w:sz="1" w:space="0" w:color="000000"/>
              <w:right w:val="single" w:sz="1" w:space="0" w:color="000000"/>
            </w:tcBorders>
          </w:tcPr>
          <w:p w14:paraId="2E48BCE4" w14:textId="77777777" w:rsidR="00C14264" w:rsidRPr="00C14264" w:rsidRDefault="00C14264" w:rsidP="005F3199">
            <w:pPr>
              <w:rPr>
                <w:rFonts w:cs="Calibri"/>
              </w:rPr>
            </w:pPr>
            <w:r w:rsidRPr="00C14264">
              <w:rPr>
                <w:rFonts w:cs="Calibri"/>
              </w:rPr>
              <w:t>Permanent</w:t>
            </w:r>
          </w:p>
        </w:tc>
      </w:tr>
      <w:tr w:rsidR="00C14264" w:rsidRPr="00C14264" w14:paraId="7A6FAE3D"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4421FD23" w14:textId="77777777" w:rsidR="00C14264" w:rsidRPr="00C14264" w:rsidRDefault="00C14264" w:rsidP="005F3199">
            <w:pPr>
              <w:rPr>
                <w:rFonts w:cs="Calibri"/>
              </w:rPr>
            </w:pPr>
            <w:r w:rsidRPr="00C14264">
              <w:rPr>
                <w:rFonts w:cs="Calibri"/>
                <w:b/>
              </w:rPr>
              <w:t>Base</w:t>
            </w:r>
          </w:p>
        </w:tc>
        <w:tc>
          <w:tcPr>
            <w:tcW w:w="7513" w:type="dxa"/>
            <w:tcBorders>
              <w:top w:val="single" w:sz="1" w:space="0" w:color="000000"/>
              <w:left w:val="single" w:sz="1" w:space="0" w:color="000000"/>
              <w:bottom w:val="single" w:sz="1" w:space="0" w:color="000000"/>
              <w:right w:val="single" w:sz="1" w:space="0" w:color="000000"/>
            </w:tcBorders>
          </w:tcPr>
          <w:p w14:paraId="66F90633" w14:textId="3AD5F46C" w:rsidR="00C14264" w:rsidRPr="00C14264" w:rsidRDefault="00C14264" w:rsidP="005F3199">
            <w:pPr>
              <w:rPr>
                <w:rFonts w:cs="Calibri"/>
              </w:rPr>
            </w:pPr>
            <w:r w:rsidRPr="00C14264">
              <w:rPr>
                <w:rFonts w:cs="Calibri"/>
              </w:rPr>
              <w:t>BOTESDALE</w:t>
            </w:r>
            <w:r w:rsidRPr="00C14264">
              <w:rPr>
                <w:rFonts w:cs="Calibri"/>
              </w:rPr>
              <w:t xml:space="preserve"> HEALTH CENTRE, </w:t>
            </w:r>
            <w:r w:rsidRPr="00C14264">
              <w:rPr>
                <w:rFonts w:cs="Calibri"/>
              </w:rPr>
              <w:t>BACK HILLS</w:t>
            </w:r>
            <w:r w:rsidRPr="00C14264">
              <w:rPr>
                <w:rFonts w:cs="Calibri"/>
              </w:rPr>
              <w:t>,</w:t>
            </w:r>
            <w:r w:rsidRPr="00C14264">
              <w:rPr>
                <w:rFonts w:cs="Calibri"/>
              </w:rPr>
              <w:t xml:space="preserve"> BOTESDALE</w:t>
            </w:r>
            <w:r w:rsidRPr="00C14264">
              <w:rPr>
                <w:rFonts w:cs="Calibri"/>
              </w:rPr>
              <w:t>,</w:t>
            </w:r>
            <w:r w:rsidRPr="00C14264">
              <w:rPr>
                <w:rFonts w:cs="Calibri"/>
              </w:rPr>
              <w:t xml:space="preserve"> DISS </w:t>
            </w:r>
            <w:r w:rsidRPr="00C14264">
              <w:rPr>
                <w:rFonts w:cs="Calibri"/>
              </w:rPr>
              <w:t>IP22 1DW</w:t>
            </w:r>
          </w:p>
        </w:tc>
      </w:tr>
      <w:tr w:rsidR="00C14264" w:rsidRPr="00C14264" w14:paraId="44F5BE60"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297C4097" w14:textId="77777777" w:rsidR="00C14264" w:rsidRPr="00C14264" w:rsidRDefault="00C14264" w:rsidP="005F3199">
            <w:pPr>
              <w:rPr>
                <w:rFonts w:cs="Calibri"/>
              </w:rPr>
            </w:pPr>
            <w:r w:rsidRPr="00C14264">
              <w:rPr>
                <w:rFonts w:cs="Calibri"/>
                <w:b/>
              </w:rPr>
              <w:t>DBS required</w:t>
            </w:r>
          </w:p>
        </w:tc>
        <w:tc>
          <w:tcPr>
            <w:tcW w:w="7513" w:type="dxa"/>
            <w:tcBorders>
              <w:top w:val="single" w:sz="1" w:space="0" w:color="000000"/>
              <w:left w:val="single" w:sz="1" w:space="0" w:color="000000"/>
              <w:bottom w:val="single" w:sz="1" w:space="0" w:color="000000"/>
              <w:right w:val="single" w:sz="1" w:space="0" w:color="000000"/>
            </w:tcBorders>
          </w:tcPr>
          <w:p w14:paraId="1EC6A006" w14:textId="77777777" w:rsidR="00C14264" w:rsidRPr="00C14264" w:rsidRDefault="00C14264" w:rsidP="005F3199">
            <w:pPr>
              <w:rPr>
                <w:rFonts w:cs="Calibri"/>
              </w:rPr>
            </w:pPr>
            <w:r w:rsidRPr="00C14264">
              <w:rPr>
                <w:rFonts w:cs="Calibri"/>
              </w:rPr>
              <w:t>Yes — Enhanced with adults barred list check</w:t>
            </w:r>
          </w:p>
        </w:tc>
      </w:tr>
      <w:tr w:rsidR="00C14264" w:rsidRPr="00C14264" w14:paraId="5D44D8A7" w14:textId="77777777" w:rsidTr="00C9600C">
        <w:trPr>
          <w:tblCellSpacing w:w="0" w:type="dxa"/>
          <w:jc w:val="center"/>
        </w:trPr>
        <w:tc>
          <w:tcPr>
            <w:tcW w:w="2834" w:type="dxa"/>
            <w:tcBorders>
              <w:top w:val="single" w:sz="1" w:space="0" w:color="000000"/>
              <w:left w:val="single" w:sz="1" w:space="0" w:color="000000"/>
              <w:bottom w:val="single" w:sz="1" w:space="0" w:color="000000"/>
              <w:right w:val="single" w:sz="1" w:space="0" w:color="000000"/>
            </w:tcBorders>
          </w:tcPr>
          <w:p w14:paraId="22954B8F" w14:textId="77777777" w:rsidR="00C14264" w:rsidRPr="00C14264" w:rsidRDefault="00C14264" w:rsidP="005F3199">
            <w:pPr>
              <w:rPr>
                <w:rFonts w:cs="Calibri"/>
              </w:rPr>
            </w:pPr>
            <w:r w:rsidRPr="00C14264">
              <w:rPr>
                <w:rFonts w:cs="Calibri"/>
                <w:b/>
              </w:rPr>
              <w:t>Professional registration</w:t>
            </w:r>
          </w:p>
        </w:tc>
        <w:tc>
          <w:tcPr>
            <w:tcW w:w="7513" w:type="dxa"/>
            <w:tcBorders>
              <w:top w:val="single" w:sz="1" w:space="0" w:color="000000"/>
              <w:left w:val="single" w:sz="1" w:space="0" w:color="000000"/>
              <w:bottom w:val="single" w:sz="1" w:space="0" w:color="000000"/>
              <w:right w:val="single" w:sz="1" w:space="0" w:color="000000"/>
            </w:tcBorders>
          </w:tcPr>
          <w:p w14:paraId="548068E4" w14:textId="77777777" w:rsidR="00C14264" w:rsidRPr="00C14264" w:rsidRDefault="00C14264" w:rsidP="005F3199">
            <w:pPr>
              <w:rPr>
                <w:rFonts w:cs="Calibri"/>
              </w:rPr>
            </w:pPr>
            <w:r w:rsidRPr="00C14264">
              <w:rPr>
                <w:rFonts w:cs="Calibri"/>
              </w:rPr>
              <w:t>NMC — active registration with V300 Independent Prescriber annotation</w:t>
            </w:r>
          </w:p>
        </w:tc>
      </w:tr>
    </w:tbl>
    <w:p w14:paraId="20C87F81" w14:textId="77777777" w:rsidR="00C14264" w:rsidRDefault="00C14264" w:rsidP="002A7828">
      <w:pPr>
        <w:rPr>
          <w:rFonts w:asciiTheme="minorHAnsi" w:hAnsiTheme="minorHAnsi" w:cstheme="minorHAnsi"/>
          <w:sz w:val="20"/>
          <w:szCs w:val="20"/>
        </w:rPr>
      </w:pPr>
    </w:p>
    <w:p w14:paraId="73DEF192" w14:textId="77777777" w:rsidR="00C14264" w:rsidRPr="00C14264" w:rsidRDefault="00C14264" w:rsidP="00C14264">
      <w:pPr>
        <w:rPr>
          <w:rFonts w:asciiTheme="minorHAnsi" w:hAnsiTheme="minorHAnsi" w:cstheme="minorHAnsi"/>
          <w:b/>
          <w:bCs/>
          <w:u w:val="single"/>
        </w:rPr>
      </w:pPr>
      <w:r w:rsidRPr="00C14264">
        <w:rPr>
          <w:rFonts w:asciiTheme="minorHAnsi" w:hAnsiTheme="minorHAnsi" w:cstheme="minorHAnsi"/>
          <w:b/>
          <w:bCs/>
          <w:u w:val="single"/>
        </w:rPr>
        <w:t xml:space="preserve">About the </w:t>
      </w:r>
      <w:r w:rsidRPr="00C14264">
        <w:rPr>
          <w:rFonts w:asciiTheme="minorHAnsi" w:hAnsiTheme="minorHAnsi" w:cstheme="minorHAnsi"/>
          <w:b/>
          <w:bCs/>
          <w:u w:val="single"/>
        </w:rPr>
        <w:t>P</w:t>
      </w:r>
      <w:r w:rsidRPr="00C14264">
        <w:rPr>
          <w:rFonts w:asciiTheme="minorHAnsi" w:hAnsiTheme="minorHAnsi" w:cstheme="minorHAnsi"/>
          <w:b/>
          <w:bCs/>
          <w:u w:val="single"/>
        </w:rPr>
        <w:t>ractice</w:t>
      </w:r>
    </w:p>
    <w:p w14:paraId="536A4A6B" w14:textId="4AE6519E" w:rsidR="00C14264" w:rsidRPr="00C14264" w:rsidRDefault="00C14264" w:rsidP="00C14264">
      <w:pPr>
        <w:rPr>
          <w:rFonts w:asciiTheme="minorHAnsi" w:hAnsiTheme="minorHAnsi" w:cstheme="minorHAnsi"/>
        </w:rPr>
      </w:pPr>
      <w:r w:rsidRPr="00C14264">
        <w:rPr>
          <w:rFonts w:asciiTheme="minorHAnsi" w:hAnsiTheme="minorHAnsi" w:cstheme="minorHAnsi"/>
        </w:rPr>
        <w:t>Botesdale Health Centre is a well-established and highly regarded NHS GP practice serving over 10,000 patients across Botesdale and the surrounding rural communities. The practice is committed to delivering high-quality, patient-centred healthcare in a friendly, professional, and supportive environment. Led by a dedicated multidisciplinary team of GPs (4 Partners, 6 Salaried GPs), Nurses, Urgent Care Practitioners, Healthcare Assistants, Care Coordinators, Care Navigators, Dispensers and Administration staff, Botesdale Health Centre places a strong emphasis on teamwork, continuous learning, and excellent patient care. As a training practice, it actively supports staff development and fosters a culture of innovation and improvement, making it an attractive place to build a rewarding healthcare career.</w:t>
      </w:r>
    </w:p>
    <w:p w14:paraId="6A0EF9E2" w14:textId="77777777" w:rsidR="00C14264" w:rsidRPr="00C14264" w:rsidRDefault="00C14264" w:rsidP="002A7828">
      <w:pPr>
        <w:rPr>
          <w:rFonts w:asciiTheme="minorHAnsi" w:hAnsiTheme="minorHAnsi" w:cstheme="minorHAnsi"/>
        </w:rPr>
      </w:pPr>
    </w:p>
    <w:p w14:paraId="52DA3E10" w14:textId="0F04A75F" w:rsidR="00C14264" w:rsidRPr="00C14264" w:rsidRDefault="00C14264" w:rsidP="002A7828">
      <w:pPr>
        <w:rPr>
          <w:rFonts w:asciiTheme="minorHAnsi" w:hAnsiTheme="minorHAnsi" w:cstheme="minorHAnsi"/>
          <w:b/>
          <w:bCs/>
          <w:u w:val="single"/>
        </w:rPr>
      </w:pPr>
      <w:r w:rsidRPr="00C14264">
        <w:rPr>
          <w:rFonts w:asciiTheme="minorHAnsi" w:hAnsiTheme="minorHAnsi" w:cstheme="minorHAnsi"/>
          <w:b/>
          <w:bCs/>
          <w:u w:val="single"/>
        </w:rPr>
        <w:t xml:space="preserve">Main </w:t>
      </w:r>
      <w:r w:rsidRPr="00C14264">
        <w:rPr>
          <w:rFonts w:asciiTheme="minorHAnsi" w:hAnsiTheme="minorHAnsi" w:cstheme="minorHAnsi"/>
          <w:b/>
          <w:bCs/>
          <w:u w:val="single"/>
        </w:rPr>
        <w:t>R</w:t>
      </w:r>
      <w:r w:rsidRPr="00C14264">
        <w:rPr>
          <w:rFonts w:asciiTheme="minorHAnsi" w:hAnsiTheme="minorHAnsi" w:cstheme="minorHAnsi"/>
          <w:b/>
          <w:bCs/>
          <w:u w:val="single"/>
        </w:rPr>
        <w:t>esponsibilities</w:t>
      </w:r>
    </w:p>
    <w:p w14:paraId="2537AF7C"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Autonomous clinical consultations</w:t>
      </w:r>
    </w:p>
    <w:p w14:paraId="6453E1E4" w14:textId="77777777" w:rsidR="00C14264" w:rsidRPr="00C14264" w:rsidRDefault="00C14264" w:rsidP="00C14264">
      <w:pPr>
        <w:numPr>
          <w:ilvl w:val="0"/>
          <w:numId w:val="3"/>
        </w:numPr>
        <w:rPr>
          <w:rFonts w:asciiTheme="minorHAnsi" w:hAnsiTheme="minorHAnsi" w:cstheme="minorHAnsi"/>
          <w:lang w:val="en-US"/>
        </w:rPr>
      </w:pPr>
      <w:r w:rsidRPr="00C14264">
        <w:rPr>
          <w:rFonts w:asciiTheme="minorHAnsi" w:hAnsiTheme="minorHAnsi" w:cstheme="minorHAnsi"/>
          <w:lang w:val="en-US"/>
        </w:rPr>
        <w:t>Assess patients presenting with undifferentiated and undiagnosed conditions across all age groups, using comprehensive history-taking, clinical examination, and clinical reasoning to formulate differential diagnoses</w:t>
      </w:r>
    </w:p>
    <w:p w14:paraId="010DCA5D" w14:textId="77777777" w:rsidR="00C14264" w:rsidRPr="00C14264" w:rsidRDefault="00C14264" w:rsidP="00C14264">
      <w:pPr>
        <w:numPr>
          <w:ilvl w:val="0"/>
          <w:numId w:val="3"/>
        </w:numPr>
        <w:rPr>
          <w:rFonts w:asciiTheme="minorHAnsi" w:hAnsiTheme="minorHAnsi" w:cstheme="minorHAnsi"/>
          <w:lang w:val="en-US"/>
        </w:rPr>
      </w:pPr>
      <w:r w:rsidRPr="00C14264">
        <w:rPr>
          <w:rFonts w:asciiTheme="minorHAnsi" w:hAnsiTheme="minorHAnsi" w:cstheme="minorHAnsi"/>
          <w:lang w:val="en-US"/>
        </w:rPr>
        <w:t>Initiate evidence-based treatment plans, including medication prescribing, lifestyle advice, and onward referral where appropriate</w:t>
      </w:r>
    </w:p>
    <w:p w14:paraId="0918FFCB" w14:textId="77777777" w:rsidR="00C14264" w:rsidRPr="00C14264" w:rsidRDefault="00C14264" w:rsidP="00C14264">
      <w:pPr>
        <w:numPr>
          <w:ilvl w:val="0"/>
          <w:numId w:val="3"/>
        </w:numPr>
        <w:rPr>
          <w:rFonts w:asciiTheme="minorHAnsi" w:hAnsiTheme="minorHAnsi" w:cstheme="minorHAnsi"/>
          <w:lang w:val="en-US"/>
        </w:rPr>
      </w:pPr>
      <w:proofErr w:type="gramStart"/>
      <w:r w:rsidRPr="00C14264">
        <w:rPr>
          <w:rFonts w:asciiTheme="minorHAnsi" w:hAnsiTheme="minorHAnsi" w:cstheme="minorHAnsi"/>
          <w:lang w:val="en-US"/>
        </w:rPr>
        <w:t>Manage same-day</w:t>
      </w:r>
      <w:proofErr w:type="gramEnd"/>
      <w:r w:rsidRPr="00C14264">
        <w:rPr>
          <w:rFonts w:asciiTheme="minorHAnsi" w:hAnsiTheme="minorHAnsi" w:cstheme="minorHAnsi"/>
          <w:lang w:val="en-US"/>
        </w:rPr>
        <w:t xml:space="preserve"> acute and urgent presentations, including minor illness, minor injury, infections, musculoskeletal complaints, and exacerbations of chronic conditions</w:t>
      </w:r>
    </w:p>
    <w:p w14:paraId="1F19D675" w14:textId="77777777" w:rsidR="00C14264" w:rsidRPr="00C14264" w:rsidRDefault="00C14264" w:rsidP="00C14264">
      <w:pPr>
        <w:numPr>
          <w:ilvl w:val="0"/>
          <w:numId w:val="3"/>
        </w:numPr>
        <w:rPr>
          <w:rFonts w:asciiTheme="minorHAnsi" w:hAnsiTheme="minorHAnsi" w:cstheme="minorHAnsi"/>
          <w:lang w:val="en-US"/>
        </w:rPr>
      </w:pPr>
      <w:r w:rsidRPr="00C14264">
        <w:rPr>
          <w:rFonts w:asciiTheme="minorHAnsi" w:hAnsiTheme="minorHAnsi" w:cstheme="minorHAnsi"/>
          <w:lang w:val="en-US"/>
        </w:rPr>
        <w:lastRenderedPageBreak/>
        <w:t>Conduct routine and follow-up consultations for patients with complex or multi-morbid long-term conditions</w:t>
      </w:r>
    </w:p>
    <w:p w14:paraId="3D44FEF6" w14:textId="77777777" w:rsidR="00C14264" w:rsidRPr="00C14264" w:rsidRDefault="00C14264" w:rsidP="00C14264">
      <w:pPr>
        <w:numPr>
          <w:ilvl w:val="0"/>
          <w:numId w:val="3"/>
        </w:numPr>
        <w:rPr>
          <w:rFonts w:asciiTheme="minorHAnsi" w:hAnsiTheme="minorHAnsi" w:cstheme="minorHAnsi"/>
          <w:lang w:val="en-US"/>
        </w:rPr>
      </w:pPr>
      <w:proofErr w:type="gramStart"/>
      <w:r w:rsidRPr="00C14264">
        <w:rPr>
          <w:rFonts w:asciiTheme="minorHAnsi" w:hAnsiTheme="minorHAnsi" w:cstheme="minorHAnsi"/>
          <w:lang w:val="en-US"/>
        </w:rPr>
        <w:t>Deliver</w:t>
      </w:r>
      <w:proofErr w:type="gramEnd"/>
      <w:r w:rsidRPr="00C14264">
        <w:rPr>
          <w:rFonts w:asciiTheme="minorHAnsi" w:hAnsiTheme="minorHAnsi" w:cstheme="minorHAnsi"/>
          <w:lang w:val="en-US"/>
        </w:rPr>
        <w:t xml:space="preserve"> consultations face-to-face, by telephone, and by video</w:t>
      </w:r>
    </w:p>
    <w:p w14:paraId="1AF60B42" w14:textId="77777777" w:rsidR="00C14264" w:rsidRPr="00C14264" w:rsidRDefault="00C14264" w:rsidP="00C14264">
      <w:pPr>
        <w:numPr>
          <w:ilvl w:val="0"/>
          <w:numId w:val="3"/>
        </w:numPr>
        <w:rPr>
          <w:rFonts w:asciiTheme="minorHAnsi" w:hAnsiTheme="minorHAnsi" w:cstheme="minorHAnsi"/>
          <w:lang w:val="en-US"/>
        </w:rPr>
      </w:pPr>
      <w:r w:rsidRPr="00C14264">
        <w:rPr>
          <w:rFonts w:asciiTheme="minorHAnsi" w:hAnsiTheme="minorHAnsi" w:cstheme="minorHAnsi"/>
          <w:lang w:val="en-US"/>
        </w:rPr>
        <w:t xml:space="preserve">Manage clinical emergencies in </w:t>
      </w:r>
      <w:proofErr w:type="gramStart"/>
      <w:r w:rsidRPr="00C14264">
        <w:rPr>
          <w:rFonts w:asciiTheme="minorHAnsi" w:hAnsiTheme="minorHAnsi" w:cstheme="minorHAnsi"/>
          <w:lang w:val="en-US"/>
        </w:rPr>
        <w:t>the practice</w:t>
      </w:r>
      <w:proofErr w:type="gramEnd"/>
      <w:r w:rsidRPr="00C14264">
        <w:rPr>
          <w:rFonts w:asciiTheme="minorHAnsi" w:hAnsiTheme="minorHAnsi" w:cstheme="minorHAnsi"/>
          <w:lang w:val="en-US"/>
        </w:rPr>
        <w:t xml:space="preserve"> in accordance with the practice emergency protocol</w:t>
      </w:r>
    </w:p>
    <w:p w14:paraId="6C1AA3B6" w14:textId="77777777" w:rsidR="00C14264" w:rsidRPr="00C14264" w:rsidRDefault="00C14264" w:rsidP="00C14264">
      <w:pPr>
        <w:numPr>
          <w:ilvl w:val="0"/>
          <w:numId w:val="3"/>
        </w:numPr>
        <w:rPr>
          <w:rFonts w:asciiTheme="minorHAnsi" w:hAnsiTheme="minorHAnsi" w:cstheme="minorHAnsi"/>
          <w:lang w:val="en-US"/>
        </w:rPr>
      </w:pPr>
      <w:r w:rsidRPr="00C14264">
        <w:rPr>
          <w:rFonts w:asciiTheme="minorHAnsi" w:hAnsiTheme="minorHAnsi" w:cstheme="minorHAnsi"/>
          <w:lang w:val="en-US"/>
        </w:rPr>
        <w:t>Conduct home visits to housebound patients as part of the daily clinical workload</w:t>
      </w:r>
    </w:p>
    <w:p w14:paraId="55077AEC"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Independent prescribing</w:t>
      </w:r>
    </w:p>
    <w:p w14:paraId="1B0388AD" w14:textId="77777777" w:rsidR="00C14264" w:rsidRPr="00C14264" w:rsidRDefault="00C14264" w:rsidP="00C14264">
      <w:pPr>
        <w:numPr>
          <w:ilvl w:val="0"/>
          <w:numId w:val="4"/>
        </w:numPr>
        <w:rPr>
          <w:rFonts w:asciiTheme="minorHAnsi" w:hAnsiTheme="minorHAnsi" w:cstheme="minorHAnsi"/>
          <w:lang w:val="en-US"/>
        </w:rPr>
      </w:pPr>
      <w:r w:rsidRPr="00C14264">
        <w:rPr>
          <w:rFonts w:asciiTheme="minorHAnsi" w:hAnsiTheme="minorHAnsi" w:cstheme="minorHAnsi"/>
          <w:lang w:val="en-US"/>
        </w:rPr>
        <w:t>Prescribe medicines independently from the British National Formulary (BNF) within scope of competence, including some controlled drugs (Schedules 2-5, subject to regulatory restrictions)</w:t>
      </w:r>
    </w:p>
    <w:p w14:paraId="719F1FA0" w14:textId="122DFAC5" w:rsidR="00C14264" w:rsidRPr="00C14264" w:rsidRDefault="00C14264" w:rsidP="00C14264">
      <w:pPr>
        <w:numPr>
          <w:ilvl w:val="0"/>
          <w:numId w:val="4"/>
        </w:numPr>
        <w:rPr>
          <w:rFonts w:asciiTheme="minorHAnsi" w:hAnsiTheme="minorHAnsi" w:cstheme="minorHAnsi"/>
          <w:lang w:val="en-US"/>
        </w:rPr>
      </w:pPr>
      <w:r w:rsidRPr="00C14264">
        <w:rPr>
          <w:rFonts w:asciiTheme="minorHAnsi" w:hAnsiTheme="minorHAnsi" w:cstheme="minorHAnsi"/>
          <w:lang w:val="en-US"/>
        </w:rPr>
        <w:t xml:space="preserve">Conduct medication reviews, </w:t>
      </w:r>
      <w:proofErr w:type="spellStart"/>
      <w:r w:rsidRPr="00C14264">
        <w:rPr>
          <w:rFonts w:asciiTheme="minorHAnsi" w:hAnsiTheme="minorHAnsi" w:cstheme="minorHAnsi"/>
          <w:lang w:val="en-US"/>
        </w:rPr>
        <w:t>optimise</w:t>
      </w:r>
      <w:proofErr w:type="spellEnd"/>
      <w:r w:rsidRPr="00C14264">
        <w:rPr>
          <w:rFonts w:asciiTheme="minorHAnsi" w:hAnsiTheme="minorHAnsi" w:cstheme="minorHAnsi"/>
          <w:lang w:val="en-US"/>
        </w:rPr>
        <w:t xml:space="preserve"> medication regimes, and deprescribe where clinically appropriate</w:t>
      </w:r>
    </w:p>
    <w:p w14:paraId="008D219C" w14:textId="77777777" w:rsidR="00C14264" w:rsidRPr="00C14264" w:rsidRDefault="00C14264" w:rsidP="00C14264">
      <w:pPr>
        <w:numPr>
          <w:ilvl w:val="0"/>
          <w:numId w:val="4"/>
        </w:numPr>
        <w:rPr>
          <w:rFonts w:asciiTheme="minorHAnsi" w:hAnsiTheme="minorHAnsi" w:cstheme="minorHAnsi"/>
          <w:lang w:val="en-US"/>
        </w:rPr>
      </w:pPr>
      <w:r w:rsidRPr="00C14264">
        <w:rPr>
          <w:rFonts w:asciiTheme="minorHAnsi" w:hAnsiTheme="minorHAnsi" w:cstheme="minorHAnsi"/>
          <w:lang w:val="en-US"/>
        </w:rPr>
        <w:t>Prescribe in accordance with NICE guidelines, local formulary, and evidence-based practice</w:t>
      </w:r>
    </w:p>
    <w:p w14:paraId="414F011D" w14:textId="77777777" w:rsidR="00C14264" w:rsidRPr="00C14264" w:rsidRDefault="00C14264" w:rsidP="00C14264">
      <w:pPr>
        <w:numPr>
          <w:ilvl w:val="0"/>
          <w:numId w:val="4"/>
        </w:numPr>
        <w:rPr>
          <w:rFonts w:asciiTheme="minorHAnsi" w:hAnsiTheme="minorHAnsi" w:cstheme="minorHAnsi"/>
          <w:lang w:val="en-US"/>
        </w:rPr>
      </w:pPr>
      <w:r w:rsidRPr="00C14264">
        <w:rPr>
          <w:rFonts w:asciiTheme="minorHAnsi" w:hAnsiTheme="minorHAnsi" w:cstheme="minorHAnsi"/>
          <w:lang w:val="en-US"/>
        </w:rPr>
        <w:t>Monitor therapeutic outcomes and adjust prescribing in response to clinical findings</w:t>
      </w:r>
    </w:p>
    <w:p w14:paraId="0EEA8C28" w14:textId="77777777" w:rsidR="00C14264" w:rsidRPr="00C14264" w:rsidRDefault="00C14264" w:rsidP="00C14264">
      <w:pPr>
        <w:numPr>
          <w:ilvl w:val="0"/>
          <w:numId w:val="4"/>
        </w:numPr>
        <w:rPr>
          <w:rFonts w:asciiTheme="minorHAnsi" w:hAnsiTheme="minorHAnsi" w:cstheme="minorHAnsi"/>
          <w:lang w:val="en-US"/>
        </w:rPr>
      </w:pPr>
      <w:r w:rsidRPr="00C14264">
        <w:rPr>
          <w:rFonts w:asciiTheme="minorHAnsi" w:hAnsiTheme="minorHAnsi" w:cstheme="minorHAnsi"/>
          <w:lang w:val="en-US"/>
        </w:rPr>
        <w:t>Maintain prescribing competence through CPD, prescribing audit, and peer review</w:t>
      </w:r>
    </w:p>
    <w:p w14:paraId="570F9892"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Investigations and referrals</w:t>
      </w:r>
    </w:p>
    <w:p w14:paraId="0C5D022B" w14:textId="77777777" w:rsidR="00C14264" w:rsidRPr="00C14264" w:rsidRDefault="00C14264" w:rsidP="00C14264">
      <w:pPr>
        <w:numPr>
          <w:ilvl w:val="0"/>
          <w:numId w:val="5"/>
        </w:numPr>
        <w:rPr>
          <w:rFonts w:asciiTheme="minorHAnsi" w:hAnsiTheme="minorHAnsi" w:cstheme="minorHAnsi"/>
          <w:lang w:val="en-US"/>
        </w:rPr>
      </w:pPr>
      <w:r w:rsidRPr="00C14264">
        <w:rPr>
          <w:rFonts w:asciiTheme="minorHAnsi" w:hAnsiTheme="minorHAnsi" w:cstheme="minorHAnsi"/>
          <w:lang w:val="en-US"/>
        </w:rPr>
        <w:t>Order and interpret diagnostic investigations, including blood tests, radiology, ECGs, spirometry, and urinalysis</w:t>
      </w:r>
    </w:p>
    <w:p w14:paraId="6728D907" w14:textId="77777777" w:rsidR="00C14264" w:rsidRPr="00C14264" w:rsidRDefault="00C14264" w:rsidP="00C14264">
      <w:pPr>
        <w:numPr>
          <w:ilvl w:val="0"/>
          <w:numId w:val="5"/>
        </w:numPr>
        <w:rPr>
          <w:rFonts w:asciiTheme="minorHAnsi" w:hAnsiTheme="minorHAnsi" w:cstheme="minorHAnsi"/>
          <w:lang w:val="en-US"/>
        </w:rPr>
      </w:pPr>
      <w:r w:rsidRPr="00C14264">
        <w:rPr>
          <w:rFonts w:asciiTheme="minorHAnsi" w:hAnsiTheme="minorHAnsi" w:cstheme="minorHAnsi"/>
          <w:lang w:val="en-US"/>
        </w:rPr>
        <w:t>Process pathology results and take appropriate clinical action on findings</w:t>
      </w:r>
    </w:p>
    <w:p w14:paraId="251ABE3B" w14:textId="77777777" w:rsidR="00C14264" w:rsidRPr="00C14264" w:rsidRDefault="00C14264" w:rsidP="00C14264">
      <w:pPr>
        <w:numPr>
          <w:ilvl w:val="0"/>
          <w:numId w:val="5"/>
        </w:numPr>
        <w:rPr>
          <w:rFonts w:asciiTheme="minorHAnsi" w:hAnsiTheme="minorHAnsi" w:cstheme="minorHAnsi"/>
          <w:lang w:val="en-US"/>
        </w:rPr>
      </w:pPr>
      <w:r w:rsidRPr="00C14264">
        <w:rPr>
          <w:rFonts w:asciiTheme="minorHAnsi" w:hAnsiTheme="minorHAnsi" w:cstheme="minorHAnsi"/>
          <w:lang w:val="en-US"/>
        </w:rPr>
        <w:t>Make direct referrals to secondary care and specialist services, including two-</w:t>
      </w:r>
      <w:proofErr w:type="gramStart"/>
      <w:r w:rsidRPr="00C14264">
        <w:rPr>
          <w:rFonts w:asciiTheme="minorHAnsi" w:hAnsiTheme="minorHAnsi" w:cstheme="minorHAnsi"/>
          <w:lang w:val="en-US"/>
        </w:rPr>
        <w:t>week-wait</w:t>
      </w:r>
      <w:proofErr w:type="gramEnd"/>
      <w:r w:rsidRPr="00C14264">
        <w:rPr>
          <w:rFonts w:asciiTheme="minorHAnsi" w:hAnsiTheme="minorHAnsi" w:cstheme="minorHAnsi"/>
          <w:lang w:val="en-US"/>
        </w:rPr>
        <w:t xml:space="preserve"> (urgent suspected cancer) referrals</w:t>
      </w:r>
    </w:p>
    <w:p w14:paraId="0E00AB5D" w14:textId="77777777" w:rsidR="00C14264" w:rsidRPr="00C14264" w:rsidRDefault="00C14264" w:rsidP="00C14264">
      <w:pPr>
        <w:numPr>
          <w:ilvl w:val="0"/>
          <w:numId w:val="5"/>
        </w:numPr>
        <w:rPr>
          <w:rFonts w:asciiTheme="minorHAnsi" w:hAnsiTheme="minorHAnsi" w:cstheme="minorHAnsi"/>
          <w:lang w:val="en-US"/>
        </w:rPr>
      </w:pPr>
      <w:r w:rsidRPr="00C14264">
        <w:rPr>
          <w:rFonts w:asciiTheme="minorHAnsi" w:hAnsiTheme="minorHAnsi" w:cstheme="minorHAnsi"/>
          <w:lang w:val="en-US"/>
        </w:rPr>
        <w:t>Arrange emergency admissions where clinically indicated</w:t>
      </w:r>
    </w:p>
    <w:p w14:paraId="4ABABEAA" w14:textId="77777777" w:rsidR="00C14264" w:rsidRPr="00C14264" w:rsidRDefault="00C14264" w:rsidP="00C14264">
      <w:pPr>
        <w:numPr>
          <w:ilvl w:val="0"/>
          <w:numId w:val="5"/>
        </w:numPr>
        <w:rPr>
          <w:rFonts w:asciiTheme="minorHAnsi" w:hAnsiTheme="minorHAnsi" w:cstheme="minorHAnsi"/>
          <w:lang w:val="en-US"/>
        </w:rPr>
      </w:pPr>
      <w:r w:rsidRPr="00C14264">
        <w:rPr>
          <w:rFonts w:asciiTheme="minorHAnsi" w:hAnsiTheme="minorHAnsi" w:cstheme="minorHAnsi"/>
          <w:lang w:val="en-US"/>
        </w:rPr>
        <w:t>Coordinate care with other healthcare providers and services</w:t>
      </w:r>
    </w:p>
    <w:p w14:paraId="79315C37"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Chronic disease management (advanced level)</w:t>
      </w:r>
    </w:p>
    <w:p w14:paraId="75ABAFB9" w14:textId="77777777" w:rsidR="00C14264" w:rsidRPr="00C14264" w:rsidRDefault="00C14264" w:rsidP="00C14264">
      <w:pPr>
        <w:numPr>
          <w:ilvl w:val="0"/>
          <w:numId w:val="6"/>
        </w:numPr>
        <w:rPr>
          <w:rFonts w:asciiTheme="minorHAnsi" w:hAnsiTheme="minorHAnsi" w:cstheme="minorHAnsi"/>
          <w:lang w:val="en-US"/>
        </w:rPr>
      </w:pPr>
      <w:r w:rsidRPr="00C14264">
        <w:rPr>
          <w:rFonts w:asciiTheme="minorHAnsi" w:hAnsiTheme="minorHAnsi" w:cstheme="minorHAnsi"/>
          <w:lang w:val="en-US"/>
        </w:rPr>
        <w:t>Manage patients with complex, multi-morbid long-term conditions, including diabetes, dementia, COPD, asthma, cardiovascular disease, heart failure, hypertension, CKD, thyroid disease, and mental health conditions</w:t>
      </w:r>
    </w:p>
    <w:p w14:paraId="56815540" w14:textId="08FA1C0E" w:rsidR="00C14264" w:rsidRPr="00C14264" w:rsidRDefault="00C14264" w:rsidP="00C14264">
      <w:pPr>
        <w:numPr>
          <w:ilvl w:val="0"/>
          <w:numId w:val="6"/>
        </w:numPr>
        <w:rPr>
          <w:rFonts w:asciiTheme="minorHAnsi" w:hAnsiTheme="minorHAnsi" w:cstheme="minorHAnsi"/>
          <w:lang w:val="en-US"/>
        </w:rPr>
      </w:pPr>
      <w:r w:rsidRPr="00C14264">
        <w:rPr>
          <w:rFonts w:asciiTheme="minorHAnsi" w:hAnsiTheme="minorHAnsi" w:cstheme="minorHAnsi"/>
          <w:lang w:val="en-US"/>
        </w:rPr>
        <w:t>Initiate and adjust medication regimes for chronic conditions, including insulin initiation, dose titration, and complex polypharmacy review</w:t>
      </w:r>
    </w:p>
    <w:p w14:paraId="3AB05AA2" w14:textId="77777777" w:rsidR="00C14264" w:rsidRPr="00C14264" w:rsidRDefault="00C14264" w:rsidP="00C14264">
      <w:pPr>
        <w:numPr>
          <w:ilvl w:val="0"/>
          <w:numId w:val="6"/>
        </w:numPr>
        <w:rPr>
          <w:rFonts w:asciiTheme="minorHAnsi" w:hAnsiTheme="minorHAnsi" w:cstheme="minorHAnsi"/>
          <w:lang w:val="en-US"/>
        </w:rPr>
      </w:pPr>
      <w:r w:rsidRPr="00C14264">
        <w:rPr>
          <w:rFonts w:asciiTheme="minorHAnsi" w:hAnsiTheme="minorHAnsi" w:cstheme="minorHAnsi"/>
          <w:lang w:val="en-US"/>
        </w:rPr>
        <w:t>Manage patients whose clinical complexity exceeds practice nurse protocols, providing a step-up clinical resource within the practice</w:t>
      </w:r>
    </w:p>
    <w:p w14:paraId="1A91BF49" w14:textId="77777777" w:rsidR="00C14264" w:rsidRPr="00C14264" w:rsidRDefault="00C14264" w:rsidP="00C14264">
      <w:pPr>
        <w:numPr>
          <w:ilvl w:val="0"/>
          <w:numId w:val="6"/>
        </w:numPr>
        <w:rPr>
          <w:rFonts w:asciiTheme="minorHAnsi" w:hAnsiTheme="minorHAnsi" w:cstheme="minorHAnsi"/>
          <w:lang w:val="en-US"/>
        </w:rPr>
      </w:pPr>
      <w:r w:rsidRPr="00C14264">
        <w:rPr>
          <w:rFonts w:asciiTheme="minorHAnsi" w:hAnsiTheme="minorHAnsi" w:cstheme="minorHAnsi"/>
          <w:lang w:val="en-US"/>
        </w:rPr>
        <w:t>Support QOF achievement through structured disease management, care planning, and population health approaches</w:t>
      </w:r>
    </w:p>
    <w:p w14:paraId="64642377" w14:textId="0837E0E1"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Clinical governance</w:t>
      </w:r>
    </w:p>
    <w:p w14:paraId="654E7C8A" w14:textId="7CE36286" w:rsidR="00C14264" w:rsidRPr="00C14264" w:rsidRDefault="00C14264" w:rsidP="00C14264">
      <w:pPr>
        <w:numPr>
          <w:ilvl w:val="0"/>
          <w:numId w:val="7"/>
        </w:numPr>
        <w:rPr>
          <w:rFonts w:asciiTheme="minorHAnsi" w:hAnsiTheme="minorHAnsi" w:cstheme="minorHAnsi"/>
          <w:lang w:val="en-US"/>
        </w:rPr>
      </w:pPr>
      <w:r w:rsidRPr="00C14264">
        <w:rPr>
          <w:rFonts w:asciiTheme="minorHAnsi" w:hAnsiTheme="minorHAnsi" w:cstheme="minorHAnsi"/>
          <w:lang w:val="en-US"/>
        </w:rPr>
        <w:t>Participate in clinical audit</w:t>
      </w:r>
      <w:r w:rsidR="00C9600C">
        <w:rPr>
          <w:rFonts w:asciiTheme="minorHAnsi" w:hAnsiTheme="minorHAnsi" w:cstheme="minorHAnsi"/>
          <w:lang w:val="en-US"/>
        </w:rPr>
        <w:t>s</w:t>
      </w:r>
      <w:r w:rsidRPr="00C14264">
        <w:rPr>
          <w:rFonts w:asciiTheme="minorHAnsi" w:hAnsiTheme="minorHAnsi" w:cstheme="minorHAnsi"/>
          <w:lang w:val="en-US"/>
        </w:rPr>
        <w:t>, significant event analysis (SEA), and quality improvement initiatives</w:t>
      </w:r>
    </w:p>
    <w:p w14:paraId="0F0CA3B6" w14:textId="77777777" w:rsidR="00C14264" w:rsidRPr="00C14264" w:rsidRDefault="00C14264" w:rsidP="00C14264">
      <w:pPr>
        <w:numPr>
          <w:ilvl w:val="0"/>
          <w:numId w:val="7"/>
        </w:numPr>
        <w:rPr>
          <w:rFonts w:asciiTheme="minorHAnsi" w:hAnsiTheme="minorHAnsi" w:cstheme="minorHAnsi"/>
          <w:lang w:val="en-US"/>
        </w:rPr>
      </w:pPr>
      <w:r w:rsidRPr="00C14264">
        <w:rPr>
          <w:rFonts w:asciiTheme="minorHAnsi" w:hAnsiTheme="minorHAnsi" w:cstheme="minorHAnsi"/>
          <w:lang w:val="en-US"/>
        </w:rPr>
        <w:t>Develop, review, and update clinical protocols and pathways, ensuring alignment with current NICE guidelines</w:t>
      </w:r>
    </w:p>
    <w:p w14:paraId="72F12DF8" w14:textId="060AB56E" w:rsidR="00C14264" w:rsidRPr="00C14264" w:rsidRDefault="00C14264" w:rsidP="00C14264">
      <w:pPr>
        <w:numPr>
          <w:ilvl w:val="0"/>
          <w:numId w:val="7"/>
        </w:numPr>
        <w:rPr>
          <w:rFonts w:asciiTheme="minorHAnsi" w:hAnsiTheme="minorHAnsi" w:cstheme="minorHAnsi"/>
          <w:lang w:val="en-US"/>
        </w:rPr>
      </w:pPr>
      <w:r w:rsidRPr="00C14264">
        <w:rPr>
          <w:rFonts w:asciiTheme="minorHAnsi" w:hAnsiTheme="minorHAnsi" w:cstheme="minorHAnsi"/>
          <w:lang w:val="en-US"/>
        </w:rPr>
        <w:t>Contribute to practice clinical governance meetings</w:t>
      </w:r>
      <w:r w:rsidR="00C9600C">
        <w:rPr>
          <w:rFonts w:asciiTheme="minorHAnsi" w:hAnsiTheme="minorHAnsi" w:cstheme="minorHAnsi"/>
          <w:lang w:val="en-US"/>
        </w:rPr>
        <w:t>, safeguarding meetings, MDT meetings</w:t>
      </w:r>
      <w:r w:rsidRPr="00C14264">
        <w:rPr>
          <w:rFonts w:asciiTheme="minorHAnsi" w:hAnsiTheme="minorHAnsi" w:cstheme="minorHAnsi"/>
          <w:lang w:val="en-US"/>
        </w:rPr>
        <w:t xml:space="preserve"> </w:t>
      </w:r>
    </w:p>
    <w:p w14:paraId="297D6D6B" w14:textId="77777777" w:rsidR="00C14264" w:rsidRPr="00C14264" w:rsidRDefault="00C14264" w:rsidP="00C14264">
      <w:pPr>
        <w:numPr>
          <w:ilvl w:val="0"/>
          <w:numId w:val="7"/>
        </w:numPr>
        <w:rPr>
          <w:rFonts w:asciiTheme="minorHAnsi" w:hAnsiTheme="minorHAnsi" w:cstheme="minorHAnsi"/>
          <w:lang w:val="en-US"/>
        </w:rPr>
      </w:pPr>
      <w:r w:rsidRPr="00C14264">
        <w:rPr>
          <w:rFonts w:asciiTheme="minorHAnsi" w:hAnsiTheme="minorHAnsi" w:cstheme="minorHAnsi"/>
          <w:lang w:val="en-US"/>
        </w:rPr>
        <w:t>Report clinical incidents, near misses, and concerns through the practice incident reporting system</w:t>
      </w:r>
    </w:p>
    <w:p w14:paraId="4BDB721E" w14:textId="1F8E13BE" w:rsidR="00C14264" w:rsidRPr="00C14264" w:rsidRDefault="00C14264" w:rsidP="00C14264">
      <w:pPr>
        <w:numPr>
          <w:ilvl w:val="0"/>
          <w:numId w:val="7"/>
        </w:numPr>
        <w:rPr>
          <w:rFonts w:asciiTheme="minorHAnsi" w:hAnsiTheme="minorHAnsi" w:cstheme="minorHAnsi"/>
          <w:lang w:val="en-US"/>
        </w:rPr>
      </w:pPr>
      <w:r w:rsidRPr="00C14264">
        <w:rPr>
          <w:rFonts w:asciiTheme="minorHAnsi" w:hAnsiTheme="minorHAnsi" w:cstheme="minorHAnsi"/>
          <w:lang w:val="en-US"/>
        </w:rPr>
        <w:t xml:space="preserve">Act as </w:t>
      </w:r>
      <w:r w:rsidR="00C9600C">
        <w:rPr>
          <w:rFonts w:asciiTheme="minorHAnsi" w:hAnsiTheme="minorHAnsi" w:cstheme="minorHAnsi"/>
          <w:lang w:val="en-US"/>
        </w:rPr>
        <w:t>nursing</w:t>
      </w:r>
      <w:r w:rsidRPr="00C14264">
        <w:rPr>
          <w:rFonts w:asciiTheme="minorHAnsi" w:hAnsiTheme="minorHAnsi" w:cstheme="minorHAnsi"/>
          <w:lang w:val="en-US"/>
        </w:rPr>
        <w:t xml:space="preserve"> lead for our Care Homes</w:t>
      </w:r>
    </w:p>
    <w:p w14:paraId="2BF3E966"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Research and evidence-based practice</w:t>
      </w:r>
    </w:p>
    <w:p w14:paraId="474DC6EB" w14:textId="77777777" w:rsidR="00C14264" w:rsidRPr="00C14264" w:rsidRDefault="00C14264" w:rsidP="00C14264">
      <w:pPr>
        <w:numPr>
          <w:ilvl w:val="0"/>
          <w:numId w:val="9"/>
        </w:numPr>
        <w:rPr>
          <w:rFonts w:asciiTheme="minorHAnsi" w:hAnsiTheme="minorHAnsi" w:cstheme="minorHAnsi"/>
          <w:lang w:val="en-US"/>
        </w:rPr>
      </w:pPr>
      <w:r w:rsidRPr="00C14264">
        <w:rPr>
          <w:rFonts w:asciiTheme="minorHAnsi" w:hAnsiTheme="minorHAnsi" w:cstheme="minorHAnsi"/>
          <w:lang w:val="en-US"/>
        </w:rPr>
        <w:t>Critically appraise and apply research evidence to clinical practice and service development</w:t>
      </w:r>
    </w:p>
    <w:p w14:paraId="0DD50F8C" w14:textId="77777777" w:rsidR="00C14264" w:rsidRPr="00C14264" w:rsidRDefault="00C14264" w:rsidP="00C14264">
      <w:pPr>
        <w:numPr>
          <w:ilvl w:val="0"/>
          <w:numId w:val="9"/>
        </w:numPr>
        <w:rPr>
          <w:rFonts w:asciiTheme="minorHAnsi" w:hAnsiTheme="minorHAnsi" w:cstheme="minorHAnsi"/>
          <w:lang w:val="en-US"/>
        </w:rPr>
      </w:pPr>
      <w:r w:rsidRPr="00C14264">
        <w:rPr>
          <w:rFonts w:asciiTheme="minorHAnsi" w:hAnsiTheme="minorHAnsi" w:cstheme="minorHAnsi"/>
          <w:lang w:val="en-US"/>
        </w:rPr>
        <w:t>Participate in clinical audit cycles, using findings to improve care quality</w:t>
      </w:r>
    </w:p>
    <w:p w14:paraId="41C23019" w14:textId="77777777" w:rsidR="00C14264" w:rsidRPr="00C14264" w:rsidRDefault="00C14264" w:rsidP="00C14264">
      <w:pPr>
        <w:numPr>
          <w:ilvl w:val="0"/>
          <w:numId w:val="9"/>
        </w:numPr>
        <w:rPr>
          <w:rFonts w:asciiTheme="minorHAnsi" w:hAnsiTheme="minorHAnsi" w:cstheme="minorHAnsi"/>
          <w:lang w:val="en-US"/>
        </w:rPr>
      </w:pPr>
      <w:r w:rsidRPr="00C14264">
        <w:rPr>
          <w:rFonts w:asciiTheme="minorHAnsi" w:hAnsiTheme="minorHAnsi" w:cstheme="minorHAnsi"/>
          <w:lang w:val="en-US"/>
        </w:rPr>
        <w:t>Use evidence to inform protocol development and policy updates</w:t>
      </w:r>
    </w:p>
    <w:p w14:paraId="51BBF870" w14:textId="77777777" w:rsidR="00C14264" w:rsidRPr="00C14264" w:rsidRDefault="00C14264" w:rsidP="00C14264">
      <w:pPr>
        <w:rPr>
          <w:rFonts w:asciiTheme="minorHAnsi" w:hAnsiTheme="minorHAnsi" w:cstheme="minorHAnsi"/>
          <w:b/>
          <w:lang w:val="en-US"/>
        </w:rPr>
      </w:pPr>
      <w:r w:rsidRPr="00C14264">
        <w:rPr>
          <w:rFonts w:asciiTheme="minorHAnsi" w:hAnsiTheme="minorHAnsi" w:cstheme="minorHAnsi"/>
          <w:b/>
          <w:lang w:val="en-US"/>
        </w:rPr>
        <w:t>Professional development and revalidation</w:t>
      </w:r>
    </w:p>
    <w:p w14:paraId="3336B3DC" w14:textId="77777777" w:rsidR="00C14264" w:rsidRPr="00C14264" w:rsidRDefault="00C14264" w:rsidP="00C14264">
      <w:pPr>
        <w:numPr>
          <w:ilvl w:val="0"/>
          <w:numId w:val="10"/>
        </w:numPr>
        <w:rPr>
          <w:rFonts w:asciiTheme="minorHAnsi" w:hAnsiTheme="minorHAnsi" w:cstheme="minorHAnsi"/>
          <w:lang w:val="en-US"/>
        </w:rPr>
      </w:pPr>
      <w:r w:rsidRPr="00C14264">
        <w:rPr>
          <w:rFonts w:asciiTheme="minorHAnsi" w:hAnsiTheme="minorHAnsi" w:cstheme="minorHAnsi"/>
          <w:lang w:val="en-US"/>
        </w:rPr>
        <w:t>Maintain personal clinical competence at advanced practice level through ongoing CPD</w:t>
      </w:r>
    </w:p>
    <w:p w14:paraId="549ECA39" w14:textId="77777777" w:rsidR="00C14264" w:rsidRPr="00C14264" w:rsidRDefault="00C14264" w:rsidP="00C14264">
      <w:pPr>
        <w:numPr>
          <w:ilvl w:val="0"/>
          <w:numId w:val="10"/>
        </w:numPr>
        <w:rPr>
          <w:rFonts w:asciiTheme="minorHAnsi" w:hAnsiTheme="minorHAnsi" w:cstheme="minorHAnsi"/>
          <w:lang w:val="en-US"/>
        </w:rPr>
      </w:pPr>
      <w:r w:rsidRPr="00C14264">
        <w:rPr>
          <w:rFonts w:asciiTheme="minorHAnsi" w:hAnsiTheme="minorHAnsi" w:cstheme="minorHAnsi"/>
          <w:lang w:val="en-US"/>
        </w:rPr>
        <w:t>Complete NMC revalidation requirements every three years: 450 practice hours, 35 hours of CPD, 5 pieces of feedback, 5 reflective accounts, and a reflective discussion</w:t>
      </w:r>
    </w:p>
    <w:p w14:paraId="6AC0DB99" w14:textId="77777777" w:rsidR="00C14264" w:rsidRPr="00C14264" w:rsidRDefault="00C14264" w:rsidP="00C14264">
      <w:pPr>
        <w:numPr>
          <w:ilvl w:val="0"/>
          <w:numId w:val="10"/>
        </w:numPr>
        <w:rPr>
          <w:rFonts w:asciiTheme="minorHAnsi" w:hAnsiTheme="minorHAnsi" w:cstheme="minorHAnsi"/>
          <w:lang w:val="en-US"/>
        </w:rPr>
      </w:pPr>
      <w:r w:rsidRPr="00C14264">
        <w:rPr>
          <w:rFonts w:asciiTheme="minorHAnsi" w:hAnsiTheme="minorHAnsi" w:cstheme="minorHAnsi"/>
          <w:lang w:val="en-US"/>
        </w:rPr>
        <w:t>Maintain an advanced practice portfolio evidencing practice across the four pillars</w:t>
      </w:r>
    </w:p>
    <w:p w14:paraId="03B57632" w14:textId="77777777" w:rsidR="00C14264" w:rsidRPr="00C14264" w:rsidRDefault="00C14264" w:rsidP="00C14264">
      <w:pPr>
        <w:numPr>
          <w:ilvl w:val="0"/>
          <w:numId w:val="10"/>
        </w:numPr>
        <w:rPr>
          <w:rFonts w:asciiTheme="minorHAnsi" w:hAnsiTheme="minorHAnsi" w:cstheme="minorHAnsi"/>
          <w:lang w:val="en-US"/>
        </w:rPr>
      </w:pPr>
      <w:proofErr w:type="gramStart"/>
      <w:r w:rsidRPr="00C14264">
        <w:rPr>
          <w:rFonts w:asciiTheme="minorHAnsi" w:hAnsiTheme="minorHAnsi" w:cstheme="minorHAnsi"/>
          <w:lang w:val="en-US"/>
        </w:rPr>
        <w:t>Participate</w:t>
      </w:r>
      <w:proofErr w:type="gramEnd"/>
      <w:r w:rsidRPr="00C14264">
        <w:rPr>
          <w:rFonts w:asciiTheme="minorHAnsi" w:hAnsiTheme="minorHAnsi" w:cstheme="minorHAnsi"/>
          <w:lang w:val="en-US"/>
        </w:rPr>
        <w:t xml:space="preserve"> in structured clinical supervision</w:t>
      </w:r>
    </w:p>
    <w:p w14:paraId="63840812" w14:textId="77777777" w:rsidR="00C14264" w:rsidRPr="00C14264" w:rsidRDefault="00C14264" w:rsidP="00C14264">
      <w:pPr>
        <w:numPr>
          <w:ilvl w:val="0"/>
          <w:numId w:val="10"/>
        </w:numPr>
        <w:rPr>
          <w:rFonts w:asciiTheme="minorHAnsi" w:hAnsiTheme="minorHAnsi" w:cstheme="minorHAnsi"/>
          <w:lang w:val="en-US"/>
        </w:rPr>
      </w:pPr>
      <w:r w:rsidRPr="00C14264">
        <w:rPr>
          <w:rFonts w:asciiTheme="minorHAnsi" w:hAnsiTheme="minorHAnsi" w:cstheme="minorHAnsi"/>
          <w:lang w:val="en-US"/>
        </w:rPr>
        <w:t>Keep up to date with developments in advanced practice, prescribing, and primary care</w:t>
      </w:r>
    </w:p>
    <w:p w14:paraId="6C8D87A7" w14:textId="77777777" w:rsidR="00C14264" w:rsidRDefault="00C14264" w:rsidP="002A7828">
      <w:pPr>
        <w:rPr>
          <w:rFonts w:asciiTheme="minorHAnsi" w:hAnsiTheme="minorHAnsi" w:cstheme="minorHAnsi"/>
        </w:rPr>
      </w:pPr>
    </w:p>
    <w:p w14:paraId="41A2E470" w14:textId="4BA1C5A4" w:rsidR="00C9600C" w:rsidRPr="00C9600C" w:rsidRDefault="00C9600C" w:rsidP="002A7828">
      <w:pPr>
        <w:rPr>
          <w:rFonts w:asciiTheme="minorHAnsi" w:hAnsiTheme="minorHAnsi" w:cstheme="minorHAnsi"/>
          <w:b/>
          <w:bCs/>
          <w:u w:val="single"/>
        </w:rPr>
      </w:pPr>
      <w:r w:rsidRPr="00C9600C">
        <w:rPr>
          <w:rFonts w:asciiTheme="minorHAnsi" w:hAnsiTheme="minorHAnsi" w:cstheme="minorHAnsi"/>
          <w:b/>
          <w:bCs/>
          <w:u w:val="single"/>
        </w:rPr>
        <w:t xml:space="preserve">Person </w:t>
      </w:r>
      <w:r>
        <w:rPr>
          <w:rFonts w:asciiTheme="minorHAnsi" w:hAnsiTheme="minorHAnsi" w:cstheme="minorHAnsi"/>
          <w:b/>
          <w:bCs/>
          <w:u w:val="single"/>
        </w:rPr>
        <w:t>S</w:t>
      </w:r>
      <w:r w:rsidRPr="00C9600C">
        <w:rPr>
          <w:rFonts w:asciiTheme="minorHAnsi" w:hAnsiTheme="minorHAnsi" w:cstheme="minorHAnsi"/>
          <w:b/>
          <w:bCs/>
          <w:u w:val="single"/>
        </w:rPr>
        <w:t>pecification</w:t>
      </w:r>
    </w:p>
    <w:p w14:paraId="0C19FBDE" w14:textId="77777777" w:rsidR="00C14264" w:rsidRDefault="00C14264" w:rsidP="002A7828">
      <w:pPr>
        <w:rPr>
          <w:rFonts w:asciiTheme="minorHAnsi" w:hAnsiTheme="minorHAnsi" w:cstheme="minorHAnsi"/>
        </w:rPr>
      </w:pPr>
    </w:p>
    <w:p w14:paraId="51D0F21D" w14:textId="223967B8" w:rsidR="00C9600C" w:rsidRDefault="00C9600C" w:rsidP="002A7828">
      <w:pPr>
        <w:rPr>
          <w:rFonts w:asciiTheme="minorHAnsi" w:hAnsiTheme="minorHAnsi" w:cstheme="minorHAnsi"/>
          <w:b/>
          <w:bCs/>
        </w:rPr>
      </w:pPr>
      <w:r w:rsidRPr="00C9600C">
        <w:rPr>
          <w:rFonts w:asciiTheme="minorHAnsi" w:hAnsiTheme="minorHAnsi" w:cstheme="minorHAnsi"/>
          <w:b/>
          <w:bCs/>
        </w:rPr>
        <w:t xml:space="preserve">Essential </w:t>
      </w:r>
      <w:r>
        <w:rPr>
          <w:rFonts w:asciiTheme="minorHAnsi" w:hAnsiTheme="minorHAnsi" w:cstheme="minorHAnsi"/>
          <w:b/>
          <w:bCs/>
        </w:rPr>
        <w:t>C</w:t>
      </w:r>
      <w:r w:rsidRPr="00C9600C">
        <w:rPr>
          <w:rFonts w:asciiTheme="minorHAnsi" w:hAnsiTheme="minorHAnsi" w:cstheme="minorHAnsi"/>
          <w:b/>
          <w:bCs/>
        </w:rPr>
        <w:t>riteria</w:t>
      </w:r>
    </w:p>
    <w:tbl>
      <w:tblPr>
        <w:tblW w:w="10347"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8646"/>
        <w:gridCol w:w="1701"/>
      </w:tblGrid>
      <w:tr w:rsidR="00C9600C" w14:paraId="14895C48"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2D9DFE7C" w14:textId="77777777" w:rsidR="00C9600C" w:rsidRPr="00C9600C" w:rsidRDefault="00C9600C" w:rsidP="005F3199">
            <w:pPr>
              <w:rPr>
                <w:u w:val="single"/>
              </w:rPr>
            </w:pPr>
            <w:r w:rsidRPr="00C9600C">
              <w:rPr>
                <w:u w:val="single"/>
              </w:rPr>
              <w:t>Criterion</w:t>
            </w:r>
          </w:p>
        </w:tc>
        <w:tc>
          <w:tcPr>
            <w:tcW w:w="1701" w:type="dxa"/>
            <w:tcBorders>
              <w:top w:val="single" w:sz="1" w:space="0" w:color="000000"/>
              <w:left w:val="single" w:sz="1" w:space="0" w:color="000000"/>
              <w:bottom w:val="single" w:sz="1" w:space="0" w:color="000000"/>
              <w:right w:val="single" w:sz="1" w:space="0" w:color="000000"/>
            </w:tcBorders>
          </w:tcPr>
          <w:p w14:paraId="2138A11B" w14:textId="77777777" w:rsidR="00C9600C" w:rsidRPr="00C9600C" w:rsidRDefault="00C9600C" w:rsidP="005F3199">
            <w:pPr>
              <w:rPr>
                <w:u w:val="single"/>
              </w:rPr>
            </w:pPr>
            <w:r w:rsidRPr="00C9600C">
              <w:rPr>
                <w:u w:val="single"/>
              </w:rPr>
              <w:t>Type</w:t>
            </w:r>
          </w:p>
        </w:tc>
      </w:tr>
      <w:tr w:rsidR="00C9600C" w14:paraId="1069379C"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74A5F6F7" w14:textId="77777777" w:rsidR="00C9600C" w:rsidRDefault="00C9600C" w:rsidP="005F3199">
            <w:r>
              <w:t>Active NMC registration as a Registered Nurse (Adult) with no restrictions or conditions</w:t>
            </w:r>
          </w:p>
        </w:tc>
        <w:tc>
          <w:tcPr>
            <w:tcW w:w="1701" w:type="dxa"/>
            <w:tcBorders>
              <w:top w:val="single" w:sz="1" w:space="0" w:color="000000"/>
              <w:left w:val="single" w:sz="1" w:space="0" w:color="000000"/>
              <w:bottom w:val="single" w:sz="1" w:space="0" w:color="000000"/>
              <w:right w:val="single" w:sz="1" w:space="0" w:color="000000"/>
            </w:tcBorders>
          </w:tcPr>
          <w:p w14:paraId="1E006681" w14:textId="77777777" w:rsidR="00C9600C" w:rsidRDefault="00C9600C" w:rsidP="005F3199">
            <w:r>
              <w:t>Qualifications</w:t>
            </w:r>
          </w:p>
        </w:tc>
      </w:tr>
      <w:tr w:rsidR="00C9600C" w14:paraId="77BEBD53"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2F871FDC" w14:textId="77777777" w:rsidR="00C9600C" w:rsidRDefault="00C9600C" w:rsidP="005F3199">
            <w:r>
              <w:t>V300 Independent and Supplementary Prescriber qualification, annotated on NMC register</w:t>
            </w:r>
          </w:p>
        </w:tc>
        <w:tc>
          <w:tcPr>
            <w:tcW w:w="1701" w:type="dxa"/>
            <w:tcBorders>
              <w:top w:val="single" w:sz="1" w:space="0" w:color="000000"/>
              <w:left w:val="single" w:sz="1" w:space="0" w:color="000000"/>
              <w:bottom w:val="single" w:sz="1" w:space="0" w:color="000000"/>
              <w:right w:val="single" w:sz="1" w:space="0" w:color="000000"/>
            </w:tcBorders>
          </w:tcPr>
          <w:p w14:paraId="6DDDF9A2" w14:textId="77777777" w:rsidR="00C9600C" w:rsidRDefault="00C9600C" w:rsidP="005F3199">
            <w:r>
              <w:t>Qualifications</w:t>
            </w:r>
          </w:p>
        </w:tc>
      </w:tr>
      <w:tr w:rsidR="00C9600C" w14:paraId="0F700B45"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6B72148F" w14:textId="77777777" w:rsidR="00C9600C" w:rsidRDefault="00C9600C" w:rsidP="005F3199">
            <w:r>
              <w:t>MSc in Advanced Clinical Practice or equivalent qualification, or RCN ANP accreditation</w:t>
            </w:r>
          </w:p>
        </w:tc>
        <w:tc>
          <w:tcPr>
            <w:tcW w:w="1701" w:type="dxa"/>
            <w:tcBorders>
              <w:top w:val="single" w:sz="1" w:space="0" w:color="000000"/>
              <w:left w:val="single" w:sz="1" w:space="0" w:color="000000"/>
              <w:bottom w:val="single" w:sz="1" w:space="0" w:color="000000"/>
              <w:right w:val="single" w:sz="1" w:space="0" w:color="000000"/>
            </w:tcBorders>
          </w:tcPr>
          <w:p w14:paraId="128B9216" w14:textId="77777777" w:rsidR="00C9600C" w:rsidRDefault="00C9600C" w:rsidP="005F3199">
            <w:r>
              <w:t>Qualifications</w:t>
            </w:r>
          </w:p>
        </w:tc>
      </w:tr>
      <w:tr w:rsidR="00C9600C" w14:paraId="67D2AFCF"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586D0F29" w14:textId="77777777" w:rsidR="00C9600C" w:rsidRDefault="00C9600C" w:rsidP="005F3199">
            <w:r>
              <w:t>Substantial clinical nursing experience post-registration, including autonomous assessment, diagnosis, and treatment of undifferentiated conditions</w:t>
            </w:r>
          </w:p>
        </w:tc>
        <w:tc>
          <w:tcPr>
            <w:tcW w:w="1701" w:type="dxa"/>
            <w:tcBorders>
              <w:top w:val="single" w:sz="1" w:space="0" w:color="000000"/>
              <w:left w:val="single" w:sz="1" w:space="0" w:color="000000"/>
              <w:bottom w:val="single" w:sz="1" w:space="0" w:color="000000"/>
              <w:right w:val="single" w:sz="1" w:space="0" w:color="000000"/>
            </w:tcBorders>
          </w:tcPr>
          <w:p w14:paraId="6AEB8177" w14:textId="77777777" w:rsidR="00C9600C" w:rsidRDefault="00C9600C" w:rsidP="005F3199">
            <w:r>
              <w:t>Experience</w:t>
            </w:r>
          </w:p>
        </w:tc>
      </w:tr>
      <w:tr w:rsidR="00C9600C" w14:paraId="4ABF78AC"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18AF8286" w14:textId="77777777" w:rsidR="00C9600C" w:rsidRDefault="00C9600C" w:rsidP="005F3199">
            <w:r>
              <w:t>Experience of independent prescribing and medication review across a broad range of conditions</w:t>
            </w:r>
          </w:p>
        </w:tc>
        <w:tc>
          <w:tcPr>
            <w:tcW w:w="1701" w:type="dxa"/>
            <w:tcBorders>
              <w:top w:val="single" w:sz="1" w:space="0" w:color="000000"/>
              <w:left w:val="single" w:sz="1" w:space="0" w:color="000000"/>
              <w:bottom w:val="single" w:sz="1" w:space="0" w:color="000000"/>
              <w:right w:val="single" w:sz="1" w:space="0" w:color="000000"/>
            </w:tcBorders>
          </w:tcPr>
          <w:p w14:paraId="202F1EDB" w14:textId="77777777" w:rsidR="00C9600C" w:rsidRDefault="00C9600C" w:rsidP="005F3199">
            <w:r>
              <w:t>Experience</w:t>
            </w:r>
          </w:p>
        </w:tc>
      </w:tr>
      <w:tr w:rsidR="00C9600C" w14:paraId="54355FAE"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2E853268" w14:textId="77777777" w:rsidR="00C9600C" w:rsidRDefault="00C9600C" w:rsidP="005F3199">
            <w:r>
              <w:t>Experience of managing patients with complex, multi-morbid long-term conditions</w:t>
            </w:r>
          </w:p>
        </w:tc>
        <w:tc>
          <w:tcPr>
            <w:tcW w:w="1701" w:type="dxa"/>
            <w:tcBorders>
              <w:top w:val="single" w:sz="1" w:space="0" w:color="000000"/>
              <w:left w:val="single" w:sz="1" w:space="0" w:color="000000"/>
              <w:bottom w:val="single" w:sz="1" w:space="0" w:color="000000"/>
              <w:right w:val="single" w:sz="1" w:space="0" w:color="000000"/>
            </w:tcBorders>
          </w:tcPr>
          <w:p w14:paraId="46EB840A" w14:textId="77777777" w:rsidR="00C9600C" w:rsidRDefault="00C9600C" w:rsidP="005F3199">
            <w:r>
              <w:t>Experience</w:t>
            </w:r>
          </w:p>
        </w:tc>
      </w:tr>
      <w:tr w:rsidR="00C9600C" w14:paraId="47E9683C"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1EA46D34" w14:textId="77777777" w:rsidR="00C9600C" w:rsidRDefault="00C9600C" w:rsidP="005F3199">
            <w:r>
              <w:t>Advanced clinical assessment and examination skills — comprehensive history-taking, clinical reasoning, and differential diagnosis</w:t>
            </w:r>
          </w:p>
        </w:tc>
        <w:tc>
          <w:tcPr>
            <w:tcW w:w="1701" w:type="dxa"/>
            <w:tcBorders>
              <w:top w:val="single" w:sz="1" w:space="0" w:color="000000"/>
              <w:left w:val="single" w:sz="1" w:space="0" w:color="000000"/>
              <w:bottom w:val="single" w:sz="1" w:space="0" w:color="000000"/>
              <w:right w:val="single" w:sz="1" w:space="0" w:color="000000"/>
            </w:tcBorders>
          </w:tcPr>
          <w:p w14:paraId="24FE3950" w14:textId="77777777" w:rsidR="00C9600C" w:rsidRDefault="00C9600C" w:rsidP="005F3199">
            <w:r>
              <w:t>Skills</w:t>
            </w:r>
          </w:p>
        </w:tc>
      </w:tr>
      <w:tr w:rsidR="00C9600C" w14:paraId="34894E99"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6050AC26" w14:textId="77777777" w:rsidR="00C9600C" w:rsidRDefault="00C9600C" w:rsidP="005F3199">
            <w:r>
              <w:t>Independent prescribing competence across the BNF within scope of practice</w:t>
            </w:r>
          </w:p>
        </w:tc>
        <w:tc>
          <w:tcPr>
            <w:tcW w:w="1701" w:type="dxa"/>
            <w:tcBorders>
              <w:top w:val="single" w:sz="1" w:space="0" w:color="000000"/>
              <w:left w:val="single" w:sz="1" w:space="0" w:color="000000"/>
              <w:bottom w:val="single" w:sz="1" w:space="0" w:color="000000"/>
              <w:right w:val="single" w:sz="1" w:space="0" w:color="000000"/>
            </w:tcBorders>
          </w:tcPr>
          <w:p w14:paraId="11E90C4B" w14:textId="77777777" w:rsidR="00C9600C" w:rsidRDefault="00C9600C" w:rsidP="005F3199">
            <w:r>
              <w:t>Skills</w:t>
            </w:r>
          </w:p>
        </w:tc>
      </w:tr>
      <w:tr w:rsidR="00C9600C" w14:paraId="5BBB1848"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129903A6" w14:textId="77777777" w:rsidR="00C9600C" w:rsidRDefault="00C9600C" w:rsidP="005F3199">
            <w:r>
              <w:t>Strong clinical leadership skills — ability to lead, influence, and support within a multidisciplinary team</w:t>
            </w:r>
          </w:p>
        </w:tc>
        <w:tc>
          <w:tcPr>
            <w:tcW w:w="1701" w:type="dxa"/>
            <w:tcBorders>
              <w:top w:val="single" w:sz="1" w:space="0" w:color="000000"/>
              <w:left w:val="single" w:sz="1" w:space="0" w:color="000000"/>
              <w:bottom w:val="single" w:sz="1" w:space="0" w:color="000000"/>
              <w:right w:val="single" w:sz="1" w:space="0" w:color="000000"/>
            </w:tcBorders>
          </w:tcPr>
          <w:p w14:paraId="132DB666" w14:textId="77777777" w:rsidR="00C9600C" w:rsidRDefault="00C9600C" w:rsidP="005F3199">
            <w:r>
              <w:t>Skills</w:t>
            </w:r>
          </w:p>
        </w:tc>
      </w:tr>
      <w:tr w:rsidR="00C9600C" w14:paraId="28B59A2D"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339F68F5" w14:textId="77777777" w:rsidR="00C9600C" w:rsidRDefault="00C9600C" w:rsidP="005F3199">
            <w:r>
              <w:t>Effective communication skills — ability to communicate complex clinical information to patients and colleagues</w:t>
            </w:r>
          </w:p>
        </w:tc>
        <w:tc>
          <w:tcPr>
            <w:tcW w:w="1701" w:type="dxa"/>
            <w:tcBorders>
              <w:top w:val="single" w:sz="1" w:space="0" w:color="000000"/>
              <w:left w:val="single" w:sz="1" w:space="0" w:color="000000"/>
              <w:bottom w:val="single" w:sz="1" w:space="0" w:color="000000"/>
              <w:right w:val="single" w:sz="1" w:space="0" w:color="000000"/>
            </w:tcBorders>
          </w:tcPr>
          <w:p w14:paraId="058A60F0" w14:textId="77777777" w:rsidR="00C9600C" w:rsidRDefault="00C9600C" w:rsidP="005F3199">
            <w:r>
              <w:t>Skills</w:t>
            </w:r>
          </w:p>
        </w:tc>
      </w:tr>
      <w:tr w:rsidR="00C9600C" w14:paraId="62E09AE4"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59E872A8" w14:textId="77777777" w:rsidR="00C9600C" w:rsidRDefault="00C9600C" w:rsidP="005F3199">
            <w:r>
              <w:t>IT competence — ability to use clinical systems for prescribing, clinical record-keeping, and referrals</w:t>
            </w:r>
          </w:p>
        </w:tc>
        <w:tc>
          <w:tcPr>
            <w:tcW w:w="1701" w:type="dxa"/>
            <w:tcBorders>
              <w:top w:val="single" w:sz="1" w:space="0" w:color="000000"/>
              <w:left w:val="single" w:sz="1" w:space="0" w:color="000000"/>
              <w:bottom w:val="single" w:sz="1" w:space="0" w:color="000000"/>
              <w:right w:val="single" w:sz="1" w:space="0" w:color="000000"/>
            </w:tcBorders>
          </w:tcPr>
          <w:p w14:paraId="45838DB8" w14:textId="77777777" w:rsidR="00C9600C" w:rsidRDefault="00C9600C" w:rsidP="005F3199">
            <w:r>
              <w:t>Skills</w:t>
            </w:r>
          </w:p>
        </w:tc>
      </w:tr>
      <w:tr w:rsidR="00C9600C" w14:paraId="2E5112D2"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5DA30EDE" w14:textId="77777777" w:rsidR="00C9600C" w:rsidRDefault="00C9600C" w:rsidP="005F3199">
            <w:r>
              <w:t>Understanding of clinical governance, including audit, SEA, evidence-based practice, and risk management</w:t>
            </w:r>
          </w:p>
        </w:tc>
        <w:tc>
          <w:tcPr>
            <w:tcW w:w="1701" w:type="dxa"/>
            <w:tcBorders>
              <w:top w:val="single" w:sz="1" w:space="0" w:color="000000"/>
              <w:left w:val="single" w:sz="1" w:space="0" w:color="000000"/>
              <w:bottom w:val="single" w:sz="1" w:space="0" w:color="000000"/>
              <w:right w:val="single" w:sz="1" w:space="0" w:color="000000"/>
            </w:tcBorders>
          </w:tcPr>
          <w:p w14:paraId="537E4605" w14:textId="77777777" w:rsidR="00C9600C" w:rsidRDefault="00C9600C" w:rsidP="005F3199">
            <w:r>
              <w:t>Knowledge</w:t>
            </w:r>
          </w:p>
        </w:tc>
      </w:tr>
      <w:tr w:rsidR="00C9600C" w14:paraId="26A0503F"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774BD66E" w14:textId="77777777" w:rsidR="00C9600C" w:rsidRDefault="00C9600C" w:rsidP="005F3199">
            <w:r>
              <w:t>Understanding of the NMC Code and personal professional accountability at advanced practice level</w:t>
            </w:r>
          </w:p>
        </w:tc>
        <w:tc>
          <w:tcPr>
            <w:tcW w:w="1701" w:type="dxa"/>
            <w:tcBorders>
              <w:top w:val="single" w:sz="1" w:space="0" w:color="000000"/>
              <w:left w:val="single" w:sz="1" w:space="0" w:color="000000"/>
              <w:bottom w:val="single" w:sz="1" w:space="0" w:color="000000"/>
              <w:right w:val="single" w:sz="1" w:space="0" w:color="000000"/>
            </w:tcBorders>
          </w:tcPr>
          <w:p w14:paraId="336E397D" w14:textId="77777777" w:rsidR="00C9600C" w:rsidRDefault="00C9600C" w:rsidP="005F3199">
            <w:r>
              <w:t>Knowledge</w:t>
            </w:r>
          </w:p>
        </w:tc>
      </w:tr>
      <w:tr w:rsidR="00C9600C" w14:paraId="0BE9BF26" w14:textId="77777777" w:rsidTr="00C9600C">
        <w:trPr>
          <w:tblCellSpacing w:w="0" w:type="dxa"/>
          <w:jc w:val="center"/>
        </w:trPr>
        <w:tc>
          <w:tcPr>
            <w:tcW w:w="8646" w:type="dxa"/>
            <w:tcBorders>
              <w:top w:val="single" w:sz="1" w:space="0" w:color="000000"/>
              <w:left w:val="single" w:sz="1" w:space="0" w:color="000000"/>
              <w:bottom w:val="single" w:sz="1" w:space="0" w:color="000000"/>
              <w:right w:val="single" w:sz="1" w:space="0" w:color="000000"/>
            </w:tcBorders>
          </w:tcPr>
          <w:p w14:paraId="6F334093" w14:textId="77777777" w:rsidR="00C9600C" w:rsidRDefault="00C9600C" w:rsidP="005F3199">
            <w:r>
              <w:t>Understanding of safeguarding responsibilities (adults and children)</w:t>
            </w:r>
          </w:p>
        </w:tc>
        <w:tc>
          <w:tcPr>
            <w:tcW w:w="1701" w:type="dxa"/>
            <w:tcBorders>
              <w:top w:val="single" w:sz="1" w:space="0" w:color="000000"/>
              <w:left w:val="single" w:sz="1" w:space="0" w:color="000000"/>
              <w:bottom w:val="single" w:sz="1" w:space="0" w:color="000000"/>
              <w:right w:val="single" w:sz="1" w:space="0" w:color="000000"/>
            </w:tcBorders>
          </w:tcPr>
          <w:p w14:paraId="1C413061" w14:textId="77777777" w:rsidR="00C9600C" w:rsidRDefault="00C9600C" w:rsidP="005F3199">
            <w:r>
              <w:t>Knowledge</w:t>
            </w:r>
          </w:p>
        </w:tc>
      </w:tr>
    </w:tbl>
    <w:p w14:paraId="11AD89BE" w14:textId="77777777" w:rsidR="00C9600C" w:rsidRPr="00C9600C" w:rsidRDefault="00C9600C" w:rsidP="002A7828">
      <w:pPr>
        <w:rPr>
          <w:rFonts w:asciiTheme="minorHAnsi" w:hAnsiTheme="minorHAnsi" w:cstheme="minorHAnsi"/>
          <w:b/>
          <w:bCs/>
        </w:rPr>
      </w:pPr>
    </w:p>
    <w:p w14:paraId="427D5A76" w14:textId="583966A5" w:rsidR="00C14264" w:rsidRDefault="00C9600C" w:rsidP="002A7828">
      <w:pPr>
        <w:rPr>
          <w:rFonts w:asciiTheme="minorHAnsi" w:hAnsiTheme="minorHAnsi" w:cstheme="minorHAnsi"/>
          <w:b/>
          <w:bCs/>
        </w:rPr>
      </w:pPr>
      <w:r w:rsidRPr="00C9600C">
        <w:rPr>
          <w:rFonts w:asciiTheme="minorHAnsi" w:hAnsiTheme="minorHAnsi" w:cstheme="minorHAnsi"/>
          <w:b/>
          <w:bCs/>
        </w:rPr>
        <w:t xml:space="preserve">Desirable </w:t>
      </w:r>
      <w:r>
        <w:rPr>
          <w:rFonts w:asciiTheme="minorHAnsi" w:hAnsiTheme="minorHAnsi" w:cstheme="minorHAnsi"/>
          <w:b/>
          <w:bCs/>
        </w:rPr>
        <w:t>C</w:t>
      </w:r>
      <w:r w:rsidRPr="00C9600C">
        <w:rPr>
          <w:rFonts w:asciiTheme="minorHAnsi" w:hAnsiTheme="minorHAnsi" w:cstheme="minorHAnsi"/>
          <w:b/>
          <w:bCs/>
        </w:rPr>
        <w:t>riteria</w:t>
      </w:r>
    </w:p>
    <w:tbl>
      <w:tblPr>
        <w:tblW w:w="10347" w:type="dxa"/>
        <w:jc w:val="center"/>
        <w:tblCellSpacing w:w="0" w:type="dxa"/>
        <w:tblBorders>
          <w:top w:val="single" w:sz="2" w:space="0" w:color="000000"/>
          <w:left w:val="single" w:sz="2" w:space="0" w:color="000000"/>
          <w:bottom w:val="single" w:sz="2" w:space="0" w:color="000000"/>
          <w:right w:val="single" w:sz="2" w:space="0" w:color="000000"/>
        </w:tblBorders>
        <w:tblLayout w:type="fixed"/>
        <w:tblCellMar>
          <w:top w:w="80" w:type="dxa"/>
          <w:left w:w="160" w:type="dxa"/>
          <w:bottom w:w="80" w:type="dxa"/>
          <w:right w:w="160" w:type="dxa"/>
        </w:tblCellMar>
        <w:tblLook w:val="04A0" w:firstRow="1" w:lastRow="0" w:firstColumn="1" w:lastColumn="0" w:noHBand="0" w:noVBand="1"/>
      </w:tblPr>
      <w:tblGrid>
        <w:gridCol w:w="8504"/>
        <w:gridCol w:w="1843"/>
      </w:tblGrid>
      <w:tr w:rsidR="00C9600C" w14:paraId="3DA6C4E9"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576EA609" w14:textId="77777777" w:rsidR="00C9600C" w:rsidRPr="00C9600C" w:rsidRDefault="00C9600C" w:rsidP="005F3199">
            <w:pPr>
              <w:rPr>
                <w:u w:val="single"/>
              </w:rPr>
            </w:pPr>
            <w:r w:rsidRPr="00C9600C">
              <w:rPr>
                <w:u w:val="single"/>
              </w:rPr>
              <w:t>Criterion</w:t>
            </w:r>
          </w:p>
        </w:tc>
        <w:tc>
          <w:tcPr>
            <w:tcW w:w="1843" w:type="dxa"/>
            <w:tcBorders>
              <w:top w:val="single" w:sz="1" w:space="0" w:color="000000"/>
              <w:left w:val="single" w:sz="1" w:space="0" w:color="000000"/>
              <w:bottom w:val="single" w:sz="1" w:space="0" w:color="000000"/>
              <w:right w:val="single" w:sz="1" w:space="0" w:color="000000"/>
            </w:tcBorders>
          </w:tcPr>
          <w:p w14:paraId="4AE4914B" w14:textId="77777777" w:rsidR="00C9600C" w:rsidRPr="00C9600C" w:rsidRDefault="00C9600C" w:rsidP="005F3199">
            <w:pPr>
              <w:rPr>
                <w:u w:val="single"/>
              </w:rPr>
            </w:pPr>
            <w:r w:rsidRPr="00C9600C">
              <w:rPr>
                <w:u w:val="single"/>
              </w:rPr>
              <w:t>Type</w:t>
            </w:r>
          </w:p>
        </w:tc>
      </w:tr>
      <w:tr w:rsidR="00C9600C" w14:paraId="1E09B243"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41DCF03E" w14:textId="77777777" w:rsidR="00C9600C" w:rsidRDefault="00C9600C" w:rsidP="005F3199">
            <w:r>
              <w:t>Additional post-graduate clinical qualifications (e.g., minor illness, dermatology, respiratory, diabetes)</w:t>
            </w:r>
          </w:p>
        </w:tc>
        <w:tc>
          <w:tcPr>
            <w:tcW w:w="1843" w:type="dxa"/>
            <w:tcBorders>
              <w:top w:val="single" w:sz="1" w:space="0" w:color="000000"/>
              <w:left w:val="single" w:sz="1" w:space="0" w:color="000000"/>
              <w:bottom w:val="single" w:sz="1" w:space="0" w:color="000000"/>
              <w:right w:val="single" w:sz="1" w:space="0" w:color="000000"/>
            </w:tcBorders>
          </w:tcPr>
          <w:p w14:paraId="53F94CF2" w14:textId="77777777" w:rsidR="00C9600C" w:rsidRDefault="00C9600C" w:rsidP="005F3199">
            <w:r>
              <w:t>Qualifications</w:t>
            </w:r>
          </w:p>
        </w:tc>
      </w:tr>
      <w:tr w:rsidR="00C9600C" w14:paraId="61C0502B"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75087FB7" w14:textId="77777777" w:rsidR="00C9600C" w:rsidRDefault="00C9600C" w:rsidP="005F3199">
            <w:r>
              <w:t>Teaching or mentorship qualification (Practice Assessor / Supervisor status)</w:t>
            </w:r>
          </w:p>
        </w:tc>
        <w:tc>
          <w:tcPr>
            <w:tcW w:w="1843" w:type="dxa"/>
            <w:tcBorders>
              <w:top w:val="single" w:sz="1" w:space="0" w:color="000000"/>
              <w:left w:val="single" w:sz="1" w:space="0" w:color="000000"/>
              <w:bottom w:val="single" w:sz="1" w:space="0" w:color="000000"/>
              <w:right w:val="single" w:sz="1" w:space="0" w:color="000000"/>
            </w:tcBorders>
          </w:tcPr>
          <w:p w14:paraId="62188557" w14:textId="77777777" w:rsidR="00C9600C" w:rsidRDefault="00C9600C" w:rsidP="005F3199">
            <w:r>
              <w:t>Qualifications</w:t>
            </w:r>
          </w:p>
        </w:tc>
      </w:tr>
      <w:tr w:rsidR="00C9600C" w14:paraId="3E293CDA"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29D05B3D" w14:textId="77777777" w:rsidR="00C9600C" w:rsidRDefault="00C9600C" w:rsidP="005F3199">
            <w:r>
              <w:t>Experience of working as an ANP in general practice / primary care</w:t>
            </w:r>
          </w:p>
        </w:tc>
        <w:tc>
          <w:tcPr>
            <w:tcW w:w="1843" w:type="dxa"/>
            <w:tcBorders>
              <w:top w:val="single" w:sz="1" w:space="0" w:color="000000"/>
              <w:left w:val="single" w:sz="1" w:space="0" w:color="000000"/>
              <w:bottom w:val="single" w:sz="1" w:space="0" w:color="000000"/>
              <w:right w:val="single" w:sz="1" w:space="0" w:color="000000"/>
            </w:tcBorders>
          </w:tcPr>
          <w:p w14:paraId="3948EFEE" w14:textId="77777777" w:rsidR="00C9600C" w:rsidRDefault="00C9600C" w:rsidP="005F3199">
            <w:r>
              <w:t>Experience</w:t>
            </w:r>
          </w:p>
        </w:tc>
      </w:tr>
      <w:tr w:rsidR="00C9600C" w14:paraId="5D6C8087"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4F10444C" w14:textId="77777777" w:rsidR="00C9600C" w:rsidRDefault="00C9600C" w:rsidP="005F3199">
            <w:r>
              <w:t>Experience of mentoring trainee ANPs or student nurses</w:t>
            </w:r>
          </w:p>
        </w:tc>
        <w:tc>
          <w:tcPr>
            <w:tcW w:w="1843" w:type="dxa"/>
            <w:tcBorders>
              <w:top w:val="single" w:sz="1" w:space="0" w:color="000000"/>
              <w:left w:val="single" w:sz="1" w:space="0" w:color="000000"/>
              <w:bottom w:val="single" w:sz="1" w:space="0" w:color="000000"/>
              <w:right w:val="single" w:sz="1" w:space="0" w:color="000000"/>
            </w:tcBorders>
          </w:tcPr>
          <w:p w14:paraId="3E18EDED" w14:textId="77777777" w:rsidR="00C9600C" w:rsidRDefault="00C9600C" w:rsidP="005F3199">
            <w:r>
              <w:t>Experience</w:t>
            </w:r>
          </w:p>
        </w:tc>
      </w:tr>
      <w:tr w:rsidR="00C9600C" w14:paraId="542F283E"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268B964F" w14:textId="77777777" w:rsidR="00C9600C" w:rsidRDefault="00C9600C" w:rsidP="005F3199">
            <w:r>
              <w:t>Experience of clinical service development and quality improvement</w:t>
            </w:r>
          </w:p>
        </w:tc>
        <w:tc>
          <w:tcPr>
            <w:tcW w:w="1843" w:type="dxa"/>
            <w:tcBorders>
              <w:top w:val="single" w:sz="1" w:space="0" w:color="000000"/>
              <w:left w:val="single" w:sz="1" w:space="0" w:color="000000"/>
              <w:bottom w:val="single" w:sz="1" w:space="0" w:color="000000"/>
              <w:right w:val="single" w:sz="1" w:space="0" w:color="000000"/>
            </w:tcBorders>
          </w:tcPr>
          <w:p w14:paraId="54121151" w14:textId="77777777" w:rsidR="00C9600C" w:rsidRDefault="00C9600C" w:rsidP="005F3199">
            <w:r>
              <w:t>Experience</w:t>
            </w:r>
          </w:p>
        </w:tc>
      </w:tr>
      <w:tr w:rsidR="00C9600C" w14:paraId="011DB975"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3027A7DE" w14:textId="77777777" w:rsidR="00C9600C" w:rsidRDefault="00C9600C" w:rsidP="005F3199">
            <w:r>
              <w:t>Knowledge of QOF and experience of contributing to target achievement</w:t>
            </w:r>
          </w:p>
        </w:tc>
        <w:tc>
          <w:tcPr>
            <w:tcW w:w="1843" w:type="dxa"/>
            <w:tcBorders>
              <w:top w:val="single" w:sz="1" w:space="0" w:color="000000"/>
              <w:left w:val="single" w:sz="1" w:space="0" w:color="000000"/>
              <w:bottom w:val="single" w:sz="1" w:space="0" w:color="000000"/>
              <w:right w:val="single" w:sz="1" w:space="0" w:color="000000"/>
            </w:tcBorders>
          </w:tcPr>
          <w:p w14:paraId="7C5FC537" w14:textId="77777777" w:rsidR="00C9600C" w:rsidRDefault="00C9600C" w:rsidP="005F3199">
            <w:r>
              <w:t>Knowledge</w:t>
            </w:r>
          </w:p>
        </w:tc>
      </w:tr>
      <w:tr w:rsidR="00C9600C" w14:paraId="4F2F9A25" w14:textId="77777777" w:rsidTr="00C9600C">
        <w:trPr>
          <w:tblCellSpacing w:w="0" w:type="dxa"/>
          <w:jc w:val="center"/>
        </w:trPr>
        <w:tc>
          <w:tcPr>
            <w:tcW w:w="8504" w:type="dxa"/>
            <w:tcBorders>
              <w:top w:val="single" w:sz="1" w:space="0" w:color="000000"/>
              <w:left w:val="single" w:sz="1" w:space="0" w:color="000000"/>
              <w:bottom w:val="single" w:sz="1" w:space="0" w:color="000000"/>
              <w:right w:val="single" w:sz="1" w:space="0" w:color="000000"/>
            </w:tcBorders>
          </w:tcPr>
          <w:p w14:paraId="6C607553" w14:textId="77777777" w:rsidR="00C9600C" w:rsidRDefault="00C9600C" w:rsidP="005F3199">
            <w:r>
              <w:lastRenderedPageBreak/>
              <w:t>Centre for Advancing Practice digital badge</w:t>
            </w:r>
          </w:p>
        </w:tc>
        <w:tc>
          <w:tcPr>
            <w:tcW w:w="1843" w:type="dxa"/>
            <w:tcBorders>
              <w:top w:val="single" w:sz="1" w:space="0" w:color="000000"/>
              <w:left w:val="single" w:sz="1" w:space="0" w:color="000000"/>
              <w:bottom w:val="single" w:sz="1" w:space="0" w:color="000000"/>
              <w:right w:val="single" w:sz="1" w:space="0" w:color="000000"/>
            </w:tcBorders>
          </w:tcPr>
          <w:p w14:paraId="4B81D75B" w14:textId="77777777" w:rsidR="00C9600C" w:rsidRDefault="00C9600C" w:rsidP="005F3199">
            <w:r>
              <w:t>Qualifications</w:t>
            </w:r>
          </w:p>
        </w:tc>
      </w:tr>
    </w:tbl>
    <w:p w14:paraId="4A0272D6" w14:textId="77777777" w:rsidR="00C9600C" w:rsidRDefault="00C9600C" w:rsidP="002A7828">
      <w:pPr>
        <w:rPr>
          <w:rFonts w:asciiTheme="minorHAnsi" w:hAnsiTheme="minorHAnsi" w:cstheme="minorHAnsi"/>
          <w:b/>
          <w:bCs/>
        </w:rPr>
      </w:pPr>
    </w:p>
    <w:p w14:paraId="2093C276" w14:textId="765BE256" w:rsidR="00C9600C" w:rsidRDefault="00C9600C" w:rsidP="002A7828">
      <w:pPr>
        <w:rPr>
          <w:rFonts w:asciiTheme="minorHAnsi" w:hAnsiTheme="minorHAnsi" w:cstheme="minorHAnsi"/>
          <w:b/>
          <w:bCs/>
        </w:rPr>
      </w:pPr>
      <w:r w:rsidRPr="00C9600C">
        <w:rPr>
          <w:rFonts w:asciiTheme="minorHAnsi" w:hAnsiTheme="minorHAnsi" w:cstheme="minorHAnsi"/>
          <w:b/>
          <w:bCs/>
        </w:rPr>
        <w:t xml:space="preserve">Terms and </w:t>
      </w:r>
      <w:r>
        <w:rPr>
          <w:rFonts w:asciiTheme="minorHAnsi" w:hAnsiTheme="minorHAnsi" w:cstheme="minorHAnsi"/>
          <w:b/>
          <w:bCs/>
        </w:rPr>
        <w:t>C</w:t>
      </w:r>
      <w:r w:rsidRPr="00C9600C">
        <w:rPr>
          <w:rFonts w:asciiTheme="minorHAnsi" w:hAnsiTheme="minorHAnsi" w:cstheme="minorHAnsi"/>
          <w:b/>
          <w:bCs/>
        </w:rPr>
        <w:t>onditions</w:t>
      </w:r>
    </w:p>
    <w:tbl>
      <w:tblPr>
        <w:tblW w:w="10347"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2126"/>
        <w:gridCol w:w="8221"/>
      </w:tblGrid>
      <w:tr w:rsidR="00C9600C" w14:paraId="7DD16F62"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2D5E8918" w14:textId="77777777" w:rsidR="00C9600C" w:rsidRPr="00C9600C" w:rsidRDefault="00C9600C" w:rsidP="005F3199">
            <w:pPr>
              <w:rPr>
                <w:u w:val="single"/>
              </w:rPr>
            </w:pPr>
            <w:r w:rsidRPr="00C9600C">
              <w:rPr>
                <w:u w:val="single"/>
              </w:rPr>
              <w:t>Term</w:t>
            </w:r>
          </w:p>
        </w:tc>
        <w:tc>
          <w:tcPr>
            <w:tcW w:w="8221" w:type="dxa"/>
            <w:tcBorders>
              <w:top w:val="single" w:sz="1" w:space="0" w:color="000000"/>
              <w:left w:val="single" w:sz="1" w:space="0" w:color="000000"/>
              <w:bottom w:val="single" w:sz="1" w:space="0" w:color="000000"/>
              <w:right w:val="single" w:sz="1" w:space="0" w:color="000000"/>
            </w:tcBorders>
          </w:tcPr>
          <w:p w14:paraId="1EBE18FD" w14:textId="77777777" w:rsidR="00C9600C" w:rsidRPr="00C9600C" w:rsidRDefault="00C9600C" w:rsidP="005F3199">
            <w:pPr>
              <w:rPr>
                <w:u w:val="single"/>
              </w:rPr>
            </w:pPr>
            <w:r w:rsidRPr="00C9600C">
              <w:rPr>
                <w:u w:val="single"/>
              </w:rPr>
              <w:t>Detail</w:t>
            </w:r>
          </w:p>
        </w:tc>
      </w:tr>
      <w:tr w:rsidR="00C9600C" w14:paraId="5305D4C3"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66AAFBC2" w14:textId="77777777" w:rsidR="00C9600C" w:rsidRDefault="00C9600C" w:rsidP="005F3199">
            <w:r>
              <w:rPr>
                <w:b/>
              </w:rPr>
              <w:t>Annual leave</w:t>
            </w:r>
          </w:p>
        </w:tc>
        <w:tc>
          <w:tcPr>
            <w:tcW w:w="8221" w:type="dxa"/>
            <w:tcBorders>
              <w:top w:val="single" w:sz="1" w:space="0" w:color="000000"/>
              <w:left w:val="single" w:sz="1" w:space="0" w:color="000000"/>
              <w:bottom w:val="single" w:sz="1" w:space="0" w:color="000000"/>
              <w:right w:val="single" w:sz="1" w:space="0" w:color="000000"/>
            </w:tcBorders>
          </w:tcPr>
          <w:p w14:paraId="488936BD" w14:textId="77777777" w:rsidR="00C9600C" w:rsidRDefault="00C9600C" w:rsidP="005F3199">
            <w:r>
              <w:t>5 weeks plus bank holidays, increases with service at 5 years (5.5 weeks) &amp; 10 years (6 weeks).</w:t>
            </w:r>
          </w:p>
        </w:tc>
      </w:tr>
      <w:tr w:rsidR="00C9600C" w14:paraId="26D51BE2"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21C03075" w14:textId="77777777" w:rsidR="00C9600C" w:rsidRDefault="00C9600C" w:rsidP="005F3199">
            <w:r>
              <w:rPr>
                <w:b/>
              </w:rPr>
              <w:t>Pension</w:t>
            </w:r>
          </w:p>
        </w:tc>
        <w:tc>
          <w:tcPr>
            <w:tcW w:w="8221" w:type="dxa"/>
            <w:tcBorders>
              <w:top w:val="single" w:sz="1" w:space="0" w:color="000000"/>
              <w:left w:val="single" w:sz="1" w:space="0" w:color="000000"/>
              <w:bottom w:val="single" w:sz="1" w:space="0" w:color="000000"/>
              <w:right w:val="single" w:sz="1" w:space="0" w:color="000000"/>
            </w:tcBorders>
          </w:tcPr>
          <w:p w14:paraId="650FB665" w14:textId="77777777" w:rsidR="00C9600C" w:rsidRDefault="00C9600C" w:rsidP="005F3199">
            <w:r>
              <w:t>NHS Pension Scheme</w:t>
            </w:r>
          </w:p>
        </w:tc>
      </w:tr>
      <w:tr w:rsidR="00C9600C" w14:paraId="0E86A3E9"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589B62C0" w14:textId="77777777" w:rsidR="00C9600C" w:rsidRDefault="00C9600C" w:rsidP="005F3199">
            <w:r>
              <w:rPr>
                <w:b/>
              </w:rPr>
              <w:t>Notice period</w:t>
            </w:r>
          </w:p>
        </w:tc>
        <w:tc>
          <w:tcPr>
            <w:tcW w:w="8221" w:type="dxa"/>
            <w:tcBorders>
              <w:top w:val="single" w:sz="1" w:space="0" w:color="000000"/>
              <w:left w:val="single" w:sz="1" w:space="0" w:color="000000"/>
              <w:bottom w:val="single" w:sz="1" w:space="0" w:color="000000"/>
              <w:right w:val="single" w:sz="1" w:space="0" w:color="000000"/>
            </w:tcBorders>
          </w:tcPr>
          <w:p w14:paraId="5C283BB0" w14:textId="77777777" w:rsidR="00C9600C" w:rsidRDefault="00C9600C" w:rsidP="005F3199">
            <w:r>
              <w:t>12 weeks</w:t>
            </w:r>
          </w:p>
        </w:tc>
      </w:tr>
      <w:tr w:rsidR="00C9600C" w14:paraId="6C4EA24E"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5E4AD45F" w14:textId="77777777" w:rsidR="00C9600C" w:rsidRDefault="00C9600C" w:rsidP="005F3199">
            <w:r>
              <w:rPr>
                <w:b/>
              </w:rPr>
              <w:t>Probationary period</w:t>
            </w:r>
          </w:p>
        </w:tc>
        <w:tc>
          <w:tcPr>
            <w:tcW w:w="8221" w:type="dxa"/>
            <w:tcBorders>
              <w:top w:val="single" w:sz="1" w:space="0" w:color="000000"/>
              <w:left w:val="single" w:sz="1" w:space="0" w:color="000000"/>
              <w:bottom w:val="single" w:sz="1" w:space="0" w:color="000000"/>
              <w:right w:val="single" w:sz="1" w:space="0" w:color="000000"/>
            </w:tcBorders>
          </w:tcPr>
          <w:p w14:paraId="77C21939" w14:textId="77777777" w:rsidR="00C9600C" w:rsidRDefault="00C9600C" w:rsidP="005F3199">
            <w:r>
              <w:t>6 months</w:t>
            </w:r>
          </w:p>
        </w:tc>
      </w:tr>
      <w:tr w:rsidR="00C9600C" w14:paraId="7182B366"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1FB57B41" w14:textId="77777777" w:rsidR="00C9600C" w:rsidRDefault="00C9600C" w:rsidP="005F3199">
            <w:r>
              <w:rPr>
                <w:b/>
              </w:rPr>
              <w:t>Training and CPD</w:t>
            </w:r>
          </w:p>
        </w:tc>
        <w:tc>
          <w:tcPr>
            <w:tcW w:w="8221" w:type="dxa"/>
            <w:tcBorders>
              <w:top w:val="single" w:sz="1" w:space="0" w:color="000000"/>
              <w:left w:val="single" w:sz="1" w:space="0" w:color="000000"/>
              <w:bottom w:val="single" w:sz="1" w:space="0" w:color="000000"/>
              <w:right w:val="single" w:sz="1" w:space="0" w:color="000000"/>
            </w:tcBorders>
          </w:tcPr>
          <w:p w14:paraId="10463C44" w14:textId="77777777" w:rsidR="00C9600C" w:rsidRDefault="00C9600C" w:rsidP="005F3199">
            <w:r>
              <w:t>Protected time for CPD, revalidation activities, and supervision sessions.</w:t>
            </w:r>
          </w:p>
        </w:tc>
      </w:tr>
      <w:tr w:rsidR="00C9600C" w14:paraId="131CF517"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3E2940D2" w14:textId="77777777" w:rsidR="00C9600C" w:rsidRDefault="00C9600C" w:rsidP="005F3199">
            <w:r>
              <w:rPr>
                <w:b/>
              </w:rPr>
              <w:t>Clinical supervision</w:t>
            </w:r>
          </w:p>
        </w:tc>
        <w:tc>
          <w:tcPr>
            <w:tcW w:w="8221" w:type="dxa"/>
            <w:tcBorders>
              <w:top w:val="single" w:sz="1" w:space="0" w:color="000000"/>
              <w:left w:val="single" w:sz="1" w:space="0" w:color="000000"/>
              <w:bottom w:val="single" w:sz="1" w:space="0" w:color="000000"/>
              <w:right w:val="single" w:sz="1" w:space="0" w:color="000000"/>
            </w:tcBorders>
          </w:tcPr>
          <w:p w14:paraId="4FA8A05D" w14:textId="77777777" w:rsidR="00C9600C" w:rsidRDefault="00C9600C" w:rsidP="005F3199">
            <w:r>
              <w:t>Quarterly Clinical Supervision with Prescribing Lead GP, Daily assess to Duty and Admin GP</w:t>
            </w:r>
          </w:p>
        </w:tc>
      </w:tr>
      <w:tr w:rsidR="00C9600C" w14:paraId="53BEBABF" w14:textId="77777777" w:rsidTr="00C9600C">
        <w:trPr>
          <w:tblCellSpacing w:w="0" w:type="dxa"/>
          <w:jc w:val="center"/>
        </w:trPr>
        <w:tc>
          <w:tcPr>
            <w:tcW w:w="2126" w:type="dxa"/>
            <w:tcBorders>
              <w:top w:val="single" w:sz="1" w:space="0" w:color="000000"/>
              <w:left w:val="single" w:sz="1" w:space="0" w:color="000000"/>
              <w:bottom w:val="single" w:sz="1" w:space="0" w:color="000000"/>
              <w:right w:val="single" w:sz="1" w:space="0" w:color="000000"/>
            </w:tcBorders>
          </w:tcPr>
          <w:p w14:paraId="58F33D02" w14:textId="77777777" w:rsidR="00C9600C" w:rsidRDefault="00C9600C" w:rsidP="005F3199">
            <w:r>
              <w:rPr>
                <w:b/>
              </w:rPr>
              <w:t>Indemnity</w:t>
            </w:r>
          </w:p>
        </w:tc>
        <w:tc>
          <w:tcPr>
            <w:tcW w:w="8221" w:type="dxa"/>
            <w:tcBorders>
              <w:top w:val="single" w:sz="1" w:space="0" w:color="000000"/>
              <w:left w:val="single" w:sz="1" w:space="0" w:color="000000"/>
              <w:bottom w:val="single" w:sz="1" w:space="0" w:color="000000"/>
              <w:right w:val="single" w:sz="1" w:space="0" w:color="000000"/>
            </w:tcBorders>
          </w:tcPr>
          <w:p w14:paraId="067864C6" w14:textId="77777777" w:rsidR="00C9600C" w:rsidRDefault="00C9600C" w:rsidP="005F3199">
            <w:r>
              <w:t>NHS clinical work is covered under CNSGP.</w:t>
            </w:r>
          </w:p>
        </w:tc>
      </w:tr>
    </w:tbl>
    <w:p w14:paraId="095EF19C" w14:textId="77777777" w:rsidR="00C9600C" w:rsidRDefault="00C9600C" w:rsidP="002A7828">
      <w:pPr>
        <w:rPr>
          <w:rFonts w:asciiTheme="minorHAnsi" w:hAnsiTheme="minorHAnsi" w:cstheme="minorHAnsi"/>
          <w:b/>
          <w:bCs/>
        </w:rPr>
      </w:pPr>
    </w:p>
    <w:p w14:paraId="142CD117" w14:textId="1C747121" w:rsidR="002A7828" w:rsidRPr="002A7828" w:rsidRDefault="002A7828" w:rsidP="002A7828">
      <w:pPr>
        <w:rPr>
          <w:rFonts w:asciiTheme="minorHAnsi" w:hAnsiTheme="minorHAnsi" w:cstheme="minorHAnsi"/>
        </w:rPr>
      </w:pPr>
      <w:r w:rsidRPr="002A7828">
        <w:rPr>
          <w:rFonts w:asciiTheme="minorHAnsi" w:hAnsiTheme="minorHAnsi" w:cstheme="minorHAnsi"/>
        </w:rPr>
        <w:t>We are an equal opportunities employer and welcome applications from all backgrounds in line with the Equality Act 2010.</w:t>
      </w:r>
    </w:p>
    <w:p w14:paraId="37E50152" w14:textId="77777777" w:rsidR="00C9600C" w:rsidRDefault="00C9600C" w:rsidP="002A7828">
      <w:pPr>
        <w:rPr>
          <w:rFonts w:asciiTheme="minorHAnsi" w:hAnsiTheme="minorHAnsi" w:cstheme="minorHAnsi"/>
        </w:rPr>
      </w:pPr>
    </w:p>
    <w:p w14:paraId="165E2890" w14:textId="4D365198" w:rsidR="002A7828" w:rsidRDefault="002A7828" w:rsidP="002A7828">
      <w:pPr>
        <w:rPr>
          <w:rFonts w:asciiTheme="minorHAnsi" w:hAnsiTheme="minorHAnsi" w:cstheme="minorHAnsi"/>
        </w:rPr>
      </w:pPr>
      <w:r w:rsidRPr="002A7828">
        <w:rPr>
          <w:rFonts w:asciiTheme="minorHAnsi" w:hAnsiTheme="minorHAnsi" w:cstheme="minorHAnsi"/>
        </w:rPr>
        <w:t>We are committed to safeguarding and promoting the welfare of children and vulnerable adults. All appointments are subject to appropriate pre-employment checks, including DBS clearance.</w:t>
      </w:r>
    </w:p>
    <w:p w14:paraId="46027A26" w14:textId="77777777" w:rsidR="003835DB" w:rsidRDefault="003835DB" w:rsidP="002A7828">
      <w:pPr>
        <w:rPr>
          <w:rFonts w:asciiTheme="minorHAnsi" w:hAnsiTheme="minorHAnsi" w:cstheme="minorHAnsi"/>
        </w:rPr>
      </w:pPr>
    </w:p>
    <w:p w14:paraId="01D00867" w14:textId="7C7CDDEF" w:rsidR="003835DB" w:rsidRDefault="003835DB" w:rsidP="002A7828">
      <w:pPr>
        <w:rPr>
          <w:rFonts w:asciiTheme="minorHAnsi" w:hAnsiTheme="minorHAnsi" w:cstheme="minorHAnsi"/>
        </w:rPr>
      </w:pPr>
      <w:r>
        <w:rPr>
          <w:rFonts w:asciiTheme="minorHAnsi" w:hAnsiTheme="minorHAnsi" w:cstheme="minorHAnsi"/>
        </w:rPr>
        <w:t xml:space="preserve">CVs to be sent to </w:t>
      </w:r>
      <w:hyperlink r:id="rId8" w:history="1">
        <w:r w:rsidRPr="00303D05">
          <w:rPr>
            <w:rStyle w:val="Hyperlink"/>
            <w:rFonts w:asciiTheme="minorHAnsi" w:hAnsiTheme="minorHAnsi" w:cstheme="minorHAnsi"/>
          </w:rPr>
          <w:t>naomi.matsell@nhs.net</w:t>
        </w:r>
      </w:hyperlink>
    </w:p>
    <w:p w14:paraId="04BF0484" w14:textId="77777777" w:rsidR="003835DB" w:rsidRDefault="003835DB" w:rsidP="002A7828">
      <w:pPr>
        <w:rPr>
          <w:rFonts w:asciiTheme="minorHAnsi" w:hAnsiTheme="minorHAnsi" w:cstheme="minorHAnsi"/>
        </w:rPr>
      </w:pPr>
    </w:p>
    <w:p w14:paraId="5A4CEF8D" w14:textId="65F09904" w:rsidR="003835DB" w:rsidRPr="002A7828" w:rsidRDefault="003835DB" w:rsidP="002A7828">
      <w:pPr>
        <w:rPr>
          <w:rFonts w:asciiTheme="minorHAnsi" w:hAnsiTheme="minorHAnsi" w:cstheme="minorHAnsi"/>
        </w:rPr>
      </w:pPr>
      <w:r>
        <w:rPr>
          <w:rFonts w:asciiTheme="minorHAnsi" w:hAnsiTheme="minorHAnsi" w:cstheme="minorHAnsi"/>
        </w:rPr>
        <w:t>Closing Date: 5</w:t>
      </w:r>
      <w:r w:rsidRPr="003835DB">
        <w:rPr>
          <w:rFonts w:asciiTheme="minorHAnsi" w:hAnsiTheme="minorHAnsi" w:cstheme="minorHAnsi"/>
          <w:vertAlign w:val="superscript"/>
        </w:rPr>
        <w:t>th</w:t>
      </w:r>
      <w:r>
        <w:rPr>
          <w:rFonts w:asciiTheme="minorHAnsi" w:hAnsiTheme="minorHAnsi" w:cstheme="minorHAnsi"/>
        </w:rPr>
        <w:t xml:space="preserve"> July 2026</w:t>
      </w:r>
    </w:p>
    <w:p w14:paraId="35AA285B" w14:textId="77777777" w:rsidR="00A75691" w:rsidRPr="002A7828" w:rsidRDefault="00A75691" w:rsidP="00A75691">
      <w:pPr>
        <w:rPr>
          <w:rFonts w:asciiTheme="minorHAnsi" w:hAnsiTheme="minorHAnsi" w:cstheme="minorHAnsi"/>
          <w:sz w:val="20"/>
          <w:szCs w:val="20"/>
        </w:rPr>
      </w:pPr>
    </w:p>
    <w:sectPr w:rsidR="00A75691" w:rsidRPr="002A7828" w:rsidSect="00C14264">
      <w:pgSz w:w="11906" w:h="16838"/>
      <w:pgMar w:top="851" w:right="849" w:bottom="568"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32FD" w14:textId="77777777" w:rsidR="00300B26" w:rsidRDefault="00300B26" w:rsidP="00190846">
      <w:r>
        <w:separator/>
      </w:r>
    </w:p>
  </w:endnote>
  <w:endnote w:type="continuationSeparator" w:id="0">
    <w:p w14:paraId="75CBE262" w14:textId="77777777" w:rsidR="00300B26" w:rsidRDefault="00300B26" w:rsidP="0019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B8C8" w14:textId="77777777" w:rsidR="00300B26" w:rsidRDefault="00300B26" w:rsidP="00190846">
      <w:r>
        <w:separator/>
      </w:r>
    </w:p>
  </w:footnote>
  <w:footnote w:type="continuationSeparator" w:id="0">
    <w:p w14:paraId="5464A942" w14:textId="77777777" w:rsidR="00300B26" w:rsidRDefault="00300B26" w:rsidP="0019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12A1"/>
    <w:multiLevelType w:val="multilevel"/>
    <w:tmpl w:val="D538659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108D27E0"/>
    <w:multiLevelType w:val="multilevel"/>
    <w:tmpl w:val="CBC840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188B5058"/>
    <w:multiLevelType w:val="multilevel"/>
    <w:tmpl w:val="135C00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28592BA0"/>
    <w:multiLevelType w:val="multilevel"/>
    <w:tmpl w:val="BD18DD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3C833770"/>
    <w:multiLevelType w:val="multilevel"/>
    <w:tmpl w:val="08C846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5955593E"/>
    <w:multiLevelType w:val="hybridMultilevel"/>
    <w:tmpl w:val="CD9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C54B8"/>
    <w:multiLevelType w:val="multilevel"/>
    <w:tmpl w:val="D376F3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70803A7C"/>
    <w:multiLevelType w:val="hybridMultilevel"/>
    <w:tmpl w:val="B0DA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50BDA"/>
    <w:multiLevelType w:val="multilevel"/>
    <w:tmpl w:val="AD3AF7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7C5C3B2B"/>
    <w:multiLevelType w:val="multilevel"/>
    <w:tmpl w:val="3B1C0F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474490221">
    <w:abstractNumId w:val="7"/>
  </w:num>
  <w:num w:numId="2" w16cid:durableId="2045398460">
    <w:abstractNumId w:val="5"/>
  </w:num>
  <w:num w:numId="3" w16cid:durableId="263192771">
    <w:abstractNumId w:val="2"/>
  </w:num>
  <w:num w:numId="4" w16cid:durableId="1363048565">
    <w:abstractNumId w:val="4"/>
  </w:num>
  <w:num w:numId="5" w16cid:durableId="1299148707">
    <w:abstractNumId w:val="9"/>
  </w:num>
  <w:num w:numId="6" w16cid:durableId="1414744489">
    <w:abstractNumId w:val="0"/>
  </w:num>
  <w:num w:numId="7" w16cid:durableId="1545677279">
    <w:abstractNumId w:val="3"/>
  </w:num>
  <w:num w:numId="8" w16cid:durableId="916986829">
    <w:abstractNumId w:val="6"/>
  </w:num>
  <w:num w:numId="9" w16cid:durableId="797146116">
    <w:abstractNumId w:val="8"/>
  </w:num>
  <w:num w:numId="10" w16cid:durableId="158926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60"/>
    <w:rsid w:val="0006258D"/>
    <w:rsid w:val="00190846"/>
    <w:rsid w:val="002520D7"/>
    <w:rsid w:val="00287EC0"/>
    <w:rsid w:val="002A7828"/>
    <w:rsid w:val="00300B26"/>
    <w:rsid w:val="00317F14"/>
    <w:rsid w:val="003835DB"/>
    <w:rsid w:val="00386855"/>
    <w:rsid w:val="003D4B60"/>
    <w:rsid w:val="0044234F"/>
    <w:rsid w:val="00512AA5"/>
    <w:rsid w:val="006B662B"/>
    <w:rsid w:val="00721BC1"/>
    <w:rsid w:val="007B4AAC"/>
    <w:rsid w:val="007E4D3F"/>
    <w:rsid w:val="007F3D8D"/>
    <w:rsid w:val="008F652C"/>
    <w:rsid w:val="00902373"/>
    <w:rsid w:val="00905136"/>
    <w:rsid w:val="00931B54"/>
    <w:rsid w:val="00984B6F"/>
    <w:rsid w:val="009A3BC5"/>
    <w:rsid w:val="00A265F1"/>
    <w:rsid w:val="00A75691"/>
    <w:rsid w:val="00AC024B"/>
    <w:rsid w:val="00B52409"/>
    <w:rsid w:val="00C13960"/>
    <w:rsid w:val="00C14264"/>
    <w:rsid w:val="00C9600C"/>
    <w:rsid w:val="00CA1298"/>
    <w:rsid w:val="00CC7A6B"/>
    <w:rsid w:val="00E332A7"/>
    <w:rsid w:val="00E70610"/>
    <w:rsid w:val="00E72D43"/>
    <w:rsid w:val="00ED0992"/>
    <w:rsid w:val="00F16D17"/>
    <w:rsid w:val="00F33C14"/>
    <w:rsid w:val="00F3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CE23"/>
  <w15:chartTrackingRefBased/>
  <w15:docId w15:val="{794F07DE-A5D9-4143-97F9-BD5FAC4F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14"/>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7F3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42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426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846"/>
    <w:pPr>
      <w:tabs>
        <w:tab w:val="center" w:pos="4513"/>
        <w:tab w:val="right" w:pos="9026"/>
      </w:tabs>
    </w:pPr>
  </w:style>
  <w:style w:type="character" w:customStyle="1" w:styleId="HeaderChar">
    <w:name w:val="Header Char"/>
    <w:basedOn w:val="DefaultParagraphFont"/>
    <w:link w:val="Header"/>
    <w:uiPriority w:val="99"/>
    <w:rsid w:val="00190846"/>
    <w:rPr>
      <w:rFonts w:ascii="Calibri" w:eastAsia="Calibri" w:hAnsi="Calibri" w:cs="Times New Roman"/>
      <w:sz w:val="24"/>
      <w:szCs w:val="24"/>
    </w:rPr>
  </w:style>
  <w:style w:type="paragraph" w:styleId="Footer">
    <w:name w:val="footer"/>
    <w:basedOn w:val="Normal"/>
    <w:link w:val="FooterChar"/>
    <w:uiPriority w:val="99"/>
    <w:unhideWhenUsed/>
    <w:rsid w:val="00190846"/>
    <w:pPr>
      <w:tabs>
        <w:tab w:val="center" w:pos="4513"/>
        <w:tab w:val="right" w:pos="9026"/>
      </w:tabs>
    </w:pPr>
  </w:style>
  <w:style w:type="character" w:customStyle="1" w:styleId="FooterChar">
    <w:name w:val="Footer Char"/>
    <w:basedOn w:val="DefaultParagraphFont"/>
    <w:link w:val="Footer"/>
    <w:uiPriority w:val="99"/>
    <w:rsid w:val="00190846"/>
    <w:rPr>
      <w:rFonts w:ascii="Calibri" w:eastAsia="Calibri" w:hAnsi="Calibri" w:cs="Times New Roman"/>
      <w:sz w:val="24"/>
      <w:szCs w:val="24"/>
    </w:rPr>
  </w:style>
  <w:style w:type="character" w:customStyle="1" w:styleId="Heading1Char">
    <w:name w:val="Heading 1 Char"/>
    <w:basedOn w:val="DefaultParagraphFont"/>
    <w:link w:val="Heading1"/>
    <w:uiPriority w:val="9"/>
    <w:rsid w:val="007F3D8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F3D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8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86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855"/>
    <w:rPr>
      <w:rFonts w:ascii="Segoe UI" w:eastAsia="Calibri" w:hAnsi="Segoe UI" w:cs="Segoe UI"/>
      <w:sz w:val="18"/>
      <w:szCs w:val="18"/>
    </w:rPr>
  </w:style>
  <w:style w:type="paragraph" w:styleId="ListParagraph">
    <w:name w:val="List Paragraph"/>
    <w:basedOn w:val="Normal"/>
    <w:uiPriority w:val="34"/>
    <w:qFormat/>
    <w:rsid w:val="00A75691"/>
    <w:pPr>
      <w:ind w:left="720"/>
      <w:contextualSpacing/>
    </w:pPr>
  </w:style>
  <w:style w:type="paragraph" w:styleId="NormalWeb">
    <w:name w:val="Normal (Web)"/>
    <w:basedOn w:val="Normal"/>
    <w:uiPriority w:val="99"/>
    <w:semiHidden/>
    <w:unhideWhenUsed/>
    <w:rsid w:val="002A7828"/>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semiHidden/>
    <w:rsid w:val="00C142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1426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835DB"/>
    <w:rPr>
      <w:color w:val="0563C1" w:themeColor="hyperlink"/>
      <w:u w:val="single"/>
    </w:rPr>
  </w:style>
  <w:style w:type="character" w:styleId="UnresolvedMention">
    <w:name w:val="Unresolved Mention"/>
    <w:basedOn w:val="DefaultParagraphFont"/>
    <w:uiPriority w:val="99"/>
    <w:semiHidden/>
    <w:unhideWhenUsed/>
    <w:rsid w:val="0038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22634">
      <w:bodyDiv w:val="1"/>
      <w:marLeft w:val="0"/>
      <w:marRight w:val="0"/>
      <w:marTop w:val="0"/>
      <w:marBottom w:val="0"/>
      <w:divBdr>
        <w:top w:val="none" w:sz="0" w:space="0" w:color="auto"/>
        <w:left w:val="none" w:sz="0" w:space="0" w:color="auto"/>
        <w:bottom w:val="none" w:sz="0" w:space="0" w:color="auto"/>
        <w:right w:val="none" w:sz="0" w:space="0" w:color="auto"/>
      </w:divBdr>
      <w:divsChild>
        <w:div w:id="1792623388">
          <w:marLeft w:val="0"/>
          <w:marRight w:val="0"/>
          <w:marTop w:val="0"/>
          <w:marBottom w:val="0"/>
          <w:divBdr>
            <w:top w:val="none" w:sz="0" w:space="0" w:color="auto"/>
            <w:left w:val="none" w:sz="0" w:space="0" w:color="auto"/>
            <w:bottom w:val="none" w:sz="0" w:space="0" w:color="auto"/>
            <w:right w:val="none" w:sz="0" w:space="0" w:color="auto"/>
          </w:divBdr>
          <w:divsChild>
            <w:div w:id="1883252675">
              <w:marLeft w:val="0"/>
              <w:marRight w:val="0"/>
              <w:marTop w:val="0"/>
              <w:marBottom w:val="0"/>
              <w:divBdr>
                <w:top w:val="none" w:sz="0" w:space="0" w:color="auto"/>
                <w:left w:val="none" w:sz="0" w:space="0" w:color="auto"/>
                <w:bottom w:val="none" w:sz="0" w:space="0" w:color="auto"/>
                <w:right w:val="none" w:sz="0" w:space="0" w:color="auto"/>
              </w:divBdr>
            </w:div>
          </w:divsChild>
        </w:div>
        <w:div w:id="414596412">
          <w:marLeft w:val="0"/>
          <w:marRight w:val="0"/>
          <w:marTop w:val="0"/>
          <w:marBottom w:val="0"/>
          <w:divBdr>
            <w:top w:val="none" w:sz="0" w:space="0" w:color="auto"/>
            <w:left w:val="none" w:sz="0" w:space="0" w:color="auto"/>
            <w:bottom w:val="none" w:sz="0" w:space="0" w:color="auto"/>
            <w:right w:val="none" w:sz="0" w:space="0" w:color="auto"/>
          </w:divBdr>
        </w:div>
      </w:divsChild>
    </w:div>
    <w:div w:id="1630744936">
      <w:bodyDiv w:val="1"/>
      <w:marLeft w:val="0"/>
      <w:marRight w:val="0"/>
      <w:marTop w:val="0"/>
      <w:marBottom w:val="0"/>
      <w:divBdr>
        <w:top w:val="none" w:sz="0" w:space="0" w:color="auto"/>
        <w:left w:val="none" w:sz="0" w:space="0" w:color="auto"/>
        <w:bottom w:val="none" w:sz="0" w:space="0" w:color="auto"/>
        <w:right w:val="none" w:sz="0" w:space="0" w:color="auto"/>
      </w:divBdr>
      <w:divsChild>
        <w:div w:id="1118641025">
          <w:marLeft w:val="0"/>
          <w:marRight w:val="0"/>
          <w:marTop w:val="0"/>
          <w:marBottom w:val="0"/>
          <w:divBdr>
            <w:top w:val="none" w:sz="0" w:space="0" w:color="auto"/>
            <w:left w:val="none" w:sz="0" w:space="0" w:color="auto"/>
            <w:bottom w:val="none" w:sz="0" w:space="0" w:color="auto"/>
            <w:right w:val="none" w:sz="0" w:space="0" w:color="auto"/>
          </w:divBdr>
          <w:divsChild>
            <w:div w:id="182129370">
              <w:marLeft w:val="0"/>
              <w:marRight w:val="0"/>
              <w:marTop w:val="0"/>
              <w:marBottom w:val="0"/>
              <w:divBdr>
                <w:top w:val="none" w:sz="0" w:space="0" w:color="auto"/>
                <w:left w:val="none" w:sz="0" w:space="0" w:color="auto"/>
                <w:bottom w:val="none" w:sz="0" w:space="0" w:color="auto"/>
                <w:right w:val="none" w:sz="0" w:space="0" w:color="auto"/>
              </w:divBdr>
            </w:div>
          </w:divsChild>
        </w:div>
        <w:div w:id="77787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matsell@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Leverne - (Deputy Practice Manager)</dc:creator>
  <cp:keywords/>
  <dc:description/>
  <cp:lastModifiedBy>MATSELL, Naomi (BOTESDALE HEALTH CENTRE)</cp:lastModifiedBy>
  <cp:revision>7</cp:revision>
  <cp:lastPrinted>2023-11-23T09:31:00Z</cp:lastPrinted>
  <dcterms:created xsi:type="dcterms:W3CDTF">2026-06-10T11:45:00Z</dcterms:created>
  <dcterms:modified xsi:type="dcterms:W3CDTF">2026-06-11T09:06:00Z</dcterms:modified>
</cp:coreProperties>
</file>