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15559" w14:textId="33914114" w:rsidR="00273360" w:rsidRPr="00273360" w:rsidRDefault="00273360" w:rsidP="0027336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Job Summary</w:t>
      </w:r>
      <w:r w:rsidR="00D45FF1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 xml:space="preserve"> – Primary Care Tissue Viability Nurse</w:t>
      </w:r>
    </w:p>
    <w:p w14:paraId="37042BFF" w14:textId="3A88B43E" w:rsidR="00273360" w:rsidRPr="00273360" w:rsidRDefault="00273360" w:rsidP="002733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West Norfolk Coastal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9F2EC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Primary Care Network (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PCN</w:t>
      </w:r>
      <w:r w:rsidR="009F2ECE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)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are seeking to recruit a Tissue Viability Nurse</w:t>
      </w:r>
      <w:r w:rsidR="00CD280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[TVN]</w:t>
      </w:r>
      <w:r w:rsidR="006925F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</w:t>
      </w:r>
      <w:r w:rsidR="006925FD"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Band 6 </w:t>
      </w:r>
      <w:r w:rsidR="0053618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equivalent)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to support the Tissue Viability Lead</w:t>
      </w:r>
      <w:r w:rsidR="0053618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Nurse (Band 7 equivalent)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delivering a specialist wound care and leg ulcer management service across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all West Norfolk 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PCNs.</w:t>
      </w:r>
    </w:p>
    <w:p w14:paraId="3618A85C" w14:textId="50B529FB" w:rsidR="00273360" w:rsidRPr="00273360" w:rsidRDefault="00273360" w:rsidP="002733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post holder will deliver high-quality, evidence-based care to patients with compromised tissue viability, including leg ulcers, pressure ulcers, complex wounds, and lower limb conditions</w:t>
      </w:r>
      <w:r w:rsidR="006310B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within the primary care setting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 The role will focus on clinical delivery, early intervention, prevention, patient education, and supporting Primary Care teams to enhance wound care management.</w:t>
      </w:r>
    </w:p>
    <w:p w14:paraId="6AFF9947" w14:textId="094D35BD" w:rsidR="00273360" w:rsidRPr="00273360" w:rsidRDefault="00273360" w:rsidP="00273360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The post is full-time</w:t>
      </w:r>
      <w:r w:rsidR="005D7F2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</w:t>
      </w:r>
      <w:r w:rsidR="00B165EC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2-year</w:t>
      </w:r>
      <w:r w:rsidR="005D7F2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contract</w:t>
      </w:r>
      <w:r w:rsidR="00377269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initially</w:t>
      </w:r>
      <w:r w:rsidR="005D7F2D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)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requires flexibility to meet GP practice opening hours across sites. Travel between practices is required.</w:t>
      </w:r>
    </w:p>
    <w:p w14:paraId="5FAB7AFC" w14:textId="6DB57CAB" w:rsidR="00273360" w:rsidRPr="002D3388" w:rsidRDefault="00273360" w:rsidP="002D3388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The </w:t>
      </w:r>
      <w:r w:rsidR="00255BD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TVN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will work under the clinical leadership and supervision of the Tissue Viability </w:t>
      </w:r>
      <w:r w:rsidR="00255BD5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Lead 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Nurse and contribute to service development.</w:t>
      </w:r>
      <w:r w:rsidR="0000000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9179E78">
          <v:rect id="_x0000_i1025" style="width:0;height:1.5pt" o:hralign="center" o:hrstd="t" o:hr="t" fillcolor="#a0a0a0" stroked="f"/>
        </w:pict>
      </w:r>
      <w:r w:rsidRPr="00273360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Main Duties and Responsibilities</w:t>
      </w:r>
    </w:p>
    <w:p w14:paraId="509A009E" w14:textId="77777777" w:rsidR="00273360" w:rsidRPr="00273360" w:rsidRDefault="00273360" w:rsidP="0027336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Clinical Responsibilities</w:t>
      </w:r>
    </w:p>
    <w:p w14:paraId="3F169CE4" w14:textId="77777777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Deliver evidence-based care to patients with leg ulcers, pressure ulcers and complex wounds.</w:t>
      </w:r>
    </w:p>
    <w:p w14:paraId="618DBB75" w14:textId="77777777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Undertake holistic wound and lower limb assessments.</w:t>
      </w:r>
    </w:p>
    <w:p w14:paraId="155D4F2C" w14:textId="76F3F253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Perform Doppler ABPI assessments (following training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sign off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if required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).</w:t>
      </w:r>
    </w:p>
    <w:p w14:paraId="37B31264" w14:textId="6FFF5512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Initiate and manage compression therapy</w:t>
      </w:r>
      <w:r w:rsidR="004B73A3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(excluding bandaging)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line with agreed protocols.</w:t>
      </w:r>
    </w:p>
    <w:p w14:paraId="6BD56423" w14:textId="77777777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Assess, plan, implement and evaluate wound care treatment plans.</w:t>
      </w:r>
    </w:p>
    <w:p w14:paraId="746F7C70" w14:textId="77777777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Support early identification of patients at risk of tissue breakdown.</w:t>
      </w:r>
    </w:p>
    <w:p w14:paraId="7405B9EA" w14:textId="4C92F72D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Escalate complex cases appropriately to the </w:t>
      </w:r>
      <w:r w:rsidR="00256CA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TVN Lead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or specialist services.</w:t>
      </w:r>
    </w:p>
    <w:p w14:paraId="1ABA2F23" w14:textId="4588CFB6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Provide advice to practice teams regarding dressing selection and wound management</w:t>
      </w:r>
      <w:r w:rsidR="00256CA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 w:rsidR="00E27F84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in line</w:t>
      </w:r>
      <w:r w:rsidR="00256CAB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with </w:t>
      </w:r>
      <w:r w:rsidR="00F514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ICB formularies.</w:t>
      </w:r>
    </w:p>
    <w:p w14:paraId="73AEFF32" w14:textId="77777777" w:rsidR="00273360" w:rsidRPr="00273360" w:rsidRDefault="00273360" w:rsidP="002733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Maintain accurate clinical documentation and data reporting.</w:t>
      </w:r>
    </w:p>
    <w:p w14:paraId="1B8104D2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0A2736F1">
          <v:rect id="_x0000_i1026" style="width:0;height:1.5pt" o:hralign="center" o:hrstd="t" o:hr="t" fillcolor="#a0a0a0" stroked="f"/>
        </w:pict>
      </w:r>
    </w:p>
    <w:p w14:paraId="3FA2B63E" w14:textId="77777777" w:rsidR="00273360" w:rsidRPr="00273360" w:rsidRDefault="00273360" w:rsidP="0027336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Service Delivery and Support</w:t>
      </w:r>
    </w:p>
    <w:p w14:paraId="60364D13" w14:textId="379D33B8" w:rsidR="00273360" w:rsidRPr="00273360" w:rsidRDefault="00273360" w:rsidP="00273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Support the </w:t>
      </w:r>
      <w:r w:rsidR="00F514A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TVN Lead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in delivering the </w:t>
      </w:r>
      <w:r w:rsidR="00C93CE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ICB </w:t>
      </w:r>
      <w:proofErr w:type="spellStart"/>
      <w:r w:rsidR="00C93CE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woundcare</w:t>
      </w:r>
      <w:proofErr w:type="spellEnd"/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strateg</w:t>
      </w:r>
      <w:r w:rsidR="00C93CE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ies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.</w:t>
      </w:r>
    </w:p>
    <w:p w14:paraId="1E37C8F7" w14:textId="596139F4" w:rsidR="00273360" w:rsidRPr="00273360" w:rsidRDefault="00273360" w:rsidP="00273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Assist in implementing wound care </w:t>
      </w:r>
      <w:r w:rsidR="00BE5968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guidelines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and referral pathways.</w:t>
      </w:r>
    </w:p>
    <w:p w14:paraId="5D257742" w14:textId="77777777" w:rsidR="00273360" w:rsidRPr="00273360" w:rsidRDefault="00273360" w:rsidP="00273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Contribute to audit, data collection and outcome reporting.</w:t>
      </w:r>
    </w:p>
    <w:p w14:paraId="015CFC6B" w14:textId="77777777" w:rsidR="00273360" w:rsidRPr="00273360" w:rsidRDefault="00273360" w:rsidP="00273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Participate in quality improvement initiatives.</w:t>
      </w:r>
    </w:p>
    <w:p w14:paraId="674C3563" w14:textId="77777777" w:rsidR="00273360" w:rsidRPr="00273360" w:rsidRDefault="00273360" w:rsidP="002733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Support anticipatory care approaches to prevent wound deterioration.</w:t>
      </w:r>
    </w:p>
    <w:p w14:paraId="7DF374E0" w14:textId="77777777" w:rsidR="00273360" w:rsidRPr="00273360" w:rsidRDefault="00273360" w:rsidP="0027336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lastRenderedPageBreak/>
        <w:t>Education and Practice Support</w:t>
      </w:r>
    </w:p>
    <w:p w14:paraId="7FD7B653" w14:textId="77777777" w:rsidR="00273360" w:rsidRPr="00273360" w:rsidRDefault="00273360" w:rsidP="00273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Provide clinical support and informal teaching to Practice Nurses and HCAs.</w:t>
      </w:r>
    </w:p>
    <w:p w14:paraId="236F64EE" w14:textId="77777777" w:rsidR="00273360" w:rsidRPr="00273360" w:rsidRDefault="00273360" w:rsidP="00273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Reinforce evidence-based wound care practice across PCNs.</w:t>
      </w:r>
    </w:p>
    <w:p w14:paraId="037FD349" w14:textId="77777777" w:rsidR="00273360" w:rsidRPr="00273360" w:rsidRDefault="00273360" w:rsidP="00273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Provide education to patients and carers on wound prevention and self-management.</w:t>
      </w:r>
    </w:p>
    <w:p w14:paraId="59D93C4F" w14:textId="0C60C97B" w:rsidR="00273360" w:rsidRPr="00273360" w:rsidRDefault="00273360" w:rsidP="002733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Identify training needs and escalate to </w:t>
      </w:r>
      <w:r w:rsidR="000B4312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TVN Lead</w:t>
      </w: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for formal programme development.</w:t>
      </w:r>
    </w:p>
    <w:p w14:paraId="7DEB83A7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6FD35895">
          <v:rect id="_x0000_i1028" style="width:0;height:1.5pt" o:hralign="center" o:hrstd="t" o:hr="t" fillcolor="#a0a0a0" stroked="f"/>
        </w:pict>
      </w:r>
    </w:p>
    <w:p w14:paraId="4F269F85" w14:textId="77777777" w:rsidR="00273360" w:rsidRPr="00273360" w:rsidRDefault="00273360" w:rsidP="00273360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27"/>
          <w:szCs w:val="27"/>
          <w:lang w:eastAsia="en-GB"/>
          <w14:ligatures w14:val="none"/>
        </w:rPr>
        <w:t>Professional Responsibilities</w:t>
      </w:r>
    </w:p>
    <w:p w14:paraId="17C282EB" w14:textId="77777777" w:rsidR="00273360" w:rsidRPr="00273360" w:rsidRDefault="00273360" w:rsidP="00273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Adhere to the NMC Code at all times.</w:t>
      </w:r>
    </w:p>
    <w:p w14:paraId="1C251D6E" w14:textId="77777777" w:rsidR="00273360" w:rsidRPr="00273360" w:rsidRDefault="00273360" w:rsidP="00273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Maintain professional accountability for own practice.</w:t>
      </w:r>
    </w:p>
    <w:p w14:paraId="56E6D74E" w14:textId="77777777" w:rsidR="00273360" w:rsidRPr="00273360" w:rsidRDefault="00273360" w:rsidP="00273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Participate in appraisal and personal development planning.</w:t>
      </w:r>
    </w:p>
    <w:p w14:paraId="70DEBD13" w14:textId="77777777" w:rsidR="00273360" w:rsidRPr="00273360" w:rsidRDefault="00273360" w:rsidP="00273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Maintain specialist knowledge through CPD in tissue viability.</w:t>
      </w:r>
    </w:p>
    <w:p w14:paraId="2C0877C4" w14:textId="77777777" w:rsidR="00273360" w:rsidRPr="00273360" w:rsidRDefault="00273360" w:rsidP="002733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Work collaboratively with Community Skin Integrity Teams and wider MDT.</w:t>
      </w:r>
    </w:p>
    <w:p w14:paraId="5BE76967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19FA509B">
          <v:rect id="_x0000_i1029" style="width:0;height:1.5pt" o:hralign="center" o:hrstd="t" o:hr="t" fillcolor="#a0a0a0" stroked="f"/>
        </w:pict>
      </w:r>
    </w:p>
    <w:p w14:paraId="57C36E08" w14:textId="11F93C6F" w:rsidR="00273360" w:rsidRPr="00273360" w:rsidRDefault="000B4312" w:rsidP="0027336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TVN Lead</w:t>
      </w:r>
      <w:r w:rsidR="00273360" w:rsidRPr="00273360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 xml:space="preserve"> vs </w:t>
      </w:r>
      <w:r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>TVN</w:t>
      </w:r>
      <w:r w:rsidR="00273360" w:rsidRPr="00273360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t xml:space="preserve"> Comparison Table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1"/>
        <w:gridCol w:w="3013"/>
        <w:gridCol w:w="4022"/>
      </w:tblGrid>
      <w:tr w:rsidR="00273360" w:rsidRPr="00273360" w14:paraId="6DA11A36" w14:textId="77777777" w:rsidTr="00273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610C08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Area</w:t>
            </w:r>
          </w:p>
        </w:tc>
        <w:tc>
          <w:tcPr>
            <w:tcW w:w="0" w:type="auto"/>
            <w:vAlign w:val="center"/>
            <w:hideMark/>
          </w:tcPr>
          <w:p w14:paraId="49179B06" w14:textId="7E7C7552" w:rsidR="00273360" w:rsidRPr="00273360" w:rsidRDefault="000B4312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TVN Lead</w:t>
            </w:r>
          </w:p>
        </w:tc>
        <w:tc>
          <w:tcPr>
            <w:tcW w:w="0" w:type="auto"/>
            <w:vAlign w:val="center"/>
            <w:hideMark/>
          </w:tcPr>
          <w:p w14:paraId="29A3026F" w14:textId="64C9936F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0B4312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TVN</w:t>
            </w:r>
          </w:p>
        </w:tc>
      </w:tr>
      <w:tr w:rsidR="00273360" w:rsidRPr="00273360" w14:paraId="0DE90A3F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78B2B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Clinical Autonomy</w:t>
            </w:r>
          </w:p>
        </w:tc>
        <w:tc>
          <w:tcPr>
            <w:tcW w:w="0" w:type="auto"/>
            <w:vAlign w:val="center"/>
            <w:hideMark/>
          </w:tcPr>
          <w:p w14:paraId="7D22CCB4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Autonomous expert practitioner</w:t>
            </w:r>
          </w:p>
        </w:tc>
        <w:tc>
          <w:tcPr>
            <w:tcW w:w="0" w:type="auto"/>
            <w:vAlign w:val="center"/>
            <w:hideMark/>
          </w:tcPr>
          <w:p w14:paraId="3B141EA9" w14:textId="053225A6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Works independently within scope but under </w:t>
            </w:r>
            <w:r w:rsidR="000448D8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TVN Lead</w:t>
            </w: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clinical leadership</w:t>
            </w:r>
          </w:p>
        </w:tc>
      </w:tr>
      <w:tr w:rsidR="00273360" w:rsidRPr="00273360" w14:paraId="4C753267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3AC5FD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Service Leadership</w:t>
            </w:r>
          </w:p>
        </w:tc>
        <w:tc>
          <w:tcPr>
            <w:tcW w:w="0" w:type="auto"/>
            <w:vAlign w:val="center"/>
            <w:hideMark/>
          </w:tcPr>
          <w:p w14:paraId="29CA501B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Leads service development &amp; innovation</w:t>
            </w:r>
          </w:p>
        </w:tc>
        <w:tc>
          <w:tcPr>
            <w:tcW w:w="0" w:type="auto"/>
            <w:vAlign w:val="center"/>
            <w:hideMark/>
          </w:tcPr>
          <w:p w14:paraId="516FE370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Supports implementation of service developments</w:t>
            </w:r>
          </w:p>
        </w:tc>
      </w:tr>
      <w:tr w:rsidR="00273360" w:rsidRPr="00273360" w14:paraId="5E2AC56B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B76C7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Complexity</w:t>
            </w:r>
          </w:p>
        </w:tc>
        <w:tc>
          <w:tcPr>
            <w:tcW w:w="0" w:type="auto"/>
            <w:vAlign w:val="center"/>
            <w:hideMark/>
          </w:tcPr>
          <w:p w14:paraId="03A89693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Manages highly complex / non-healing wounds</w:t>
            </w:r>
          </w:p>
        </w:tc>
        <w:tc>
          <w:tcPr>
            <w:tcW w:w="0" w:type="auto"/>
            <w:vAlign w:val="center"/>
            <w:hideMark/>
          </w:tcPr>
          <w:p w14:paraId="75A5368D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Manages complex wounds; escalates highly complex cases</w:t>
            </w:r>
          </w:p>
        </w:tc>
      </w:tr>
      <w:tr w:rsidR="00273360" w:rsidRPr="00273360" w14:paraId="25EF0F69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E48000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Education</w:t>
            </w:r>
          </w:p>
        </w:tc>
        <w:tc>
          <w:tcPr>
            <w:tcW w:w="0" w:type="auto"/>
            <w:vAlign w:val="center"/>
            <w:hideMark/>
          </w:tcPr>
          <w:p w14:paraId="3E0F4994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Develops and delivers formal education programmes</w:t>
            </w:r>
          </w:p>
        </w:tc>
        <w:tc>
          <w:tcPr>
            <w:tcW w:w="0" w:type="auto"/>
            <w:vAlign w:val="center"/>
            <w:hideMark/>
          </w:tcPr>
          <w:p w14:paraId="6B869AD7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Provides informal teaching and supports education delivery</w:t>
            </w:r>
          </w:p>
        </w:tc>
      </w:tr>
      <w:tr w:rsidR="00273360" w:rsidRPr="00273360" w14:paraId="606D9CB9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2EF8CC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Policy Development</w:t>
            </w:r>
          </w:p>
        </w:tc>
        <w:tc>
          <w:tcPr>
            <w:tcW w:w="0" w:type="auto"/>
            <w:vAlign w:val="center"/>
            <w:hideMark/>
          </w:tcPr>
          <w:p w14:paraId="280B9928" w14:textId="382B5739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Develops </w:t>
            </w:r>
            <w:r w:rsidR="00B117D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guidelines</w:t>
            </w: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and referral pathways</w:t>
            </w:r>
          </w:p>
        </w:tc>
        <w:tc>
          <w:tcPr>
            <w:tcW w:w="0" w:type="auto"/>
            <w:vAlign w:val="center"/>
            <w:hideMark/>
          </w:tcPr>
          <w:p w14:paraId="5FFF4E59" w14:textId="39E8572A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Implements and supports </w:t>
            </w:r>
            <w:r w:rsidR="00B117D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guidelines and pathways</w:t>
            </w:r>
          </w:p>
        </w:tc>
      </w:tr>
      <w:tr w:rsidR="00273360" w:rsidRPr="00273360" w14:paraId="3157C6B0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2250BA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Audit &amp; Reporting</w:t>
            </w:r>
          </w:p>
        </w:tc>
        <w:tc>
          <w:tcPr>
            <w:tcW w:w="0" w:type="auto"/>
            <w:vAlign w:val="center"/>
            <w:hideMark/>
          </w:tcPr>
          <w:p w14:paraId="077FE284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Leads audits and produces formal reports to ICB/CCG</w:t>
            </w:r>
          </w:p>
        </w:tc>
        <w:tc>
          <w:tcPr>
            <w:tcW w:w="0" w:type="auto"/>
            <w:vAlign w:val="center"/>
            <w:hideMark/>
          </w:tcPr>
          <w:p w14:paraId="5021877E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Collects data and contributes to audits</w:t>
            </w:r>
          </w:p>
        </w:tc>
      </w:tr>
      <w:tr w:rsidR="00273360" w:rsidRPr="00273360" w14:paraId="1AA7773F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6E2695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Strategic Representation</w:t>
            </w:r>
          </w:p>
        </w:tc>
        <w:tc>
          <w:tcPr>
            <w:tcW w:w="0" w:type="auto"/>
            <w:vAlign w:val="center"/>
            <w:hideMark/>
          </w:tcPr>
          <w:p w14:paraId="0FCAD10A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Represents PCN in system-wide groups</w:t>
            </w:r>
          </w:p>
        </w:tc>
        <w:tc>
          <w:tcPr>
            <w:tcW w:w="0" w:type="auto"/>
            <w:vAlign w:val="center"/>
            <w:hideMark/>
          </w:tcPr>
          <w:p w14:paraId="72C214DE" w14:textId="29B7F873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May deputise in absence of </w:t>
            </w:r>
            <w:r w:rsidR="00B117D7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TVN Lead</w:t>
            </w:r>
          </w:p>
        </w:tc>
      </w:tr>
      <w:tr w:rsidR="00273360" w:rsidRPr="00273360" w14:paraId="2DC50AF6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966343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Mentorship</w:t>
            </w:r>
          </w:p>
        </w:tc>
        <w:tc>
          <w:tcPr>
            <w:tcW w:w="0" w:type="auto"/>
            <w:vAlign w:val="center"/>
            <w:hideMark/>
          </w:tcPr>
          <w:p w14:paraId="156ABDBC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Provides specialist supervision and leadership</w:t>
            </w:r>
          </w:p>
        </w:tc>
        <w:tc>
          <w:tcPr>
            <w:tcW w:w="0" w:type="auto"/>
            <w:vAlign w:val="center"/>
            <w:hideMark/>
          </w:tcPr>
          <w:p w14:paraId="3AFD9835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Receives supervision; may mentor junior staff</w:t>
            </w:r>
          </w:p>
        </w:tc>
      </w:tr>
      <w:tr w:rsidR="00273360" w:rsidRPr="00273360" w14:paraId="296892C7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3CF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Accountability</w:t>
            </w:r>
          </w:p>
        </w:tc>
        <w:tc>
          <w:tcPr>
            <w:tcW w:w="0" w:type="auto"/>
            <w:vAlign w:val="center"/>
            <w:hideMark/>
          </w:tcPr>
          <w:p w14:paraId="3A96213D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Accountable for service delivery outcomes</w:t>
            </w:r>
          </w:p>
        </w:tc>
        <w:tc>
          <w:tcPr>
            <w:tcW w:w="0" w:type="auto"/>
            <w:vAlign w:val="center"/>
            <w:hideMark/>
          </w:tcPr>
          <w:p w14:paraId="2C85F083" w14:textId="717920E2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Accountable for own clinical </w:t>
            </w:r>
            <w:r w:rsidR="00912E65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outcomes</w:t>
            </w:r>
          </w:p>
        </w:tc>
      </w:tr>
    </w:tbl>
    <w:p w14:paraId="2BD3B72F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2F3032E">
          <v:rect id="_x0000_i1030" style="width:0;height:1.5pt" o:hralign="center" o:hrstd="t" o:hr="t" fillcolor="#a0a0a0" stroked="f"/>
        </w:pict>
      </w:r>
    </w:p>
    <w:p w14:paraId="74274636" w14:textId="563740F9" w:rsidR="00273360" w:rsidRPr="00273360" w:rsidRDefault="00273360" w:rsidP="00273360">
      <w:pPr>
        <w:spacing w:before="100" w:beforeAutospacing="1" w:after="100" w:afterAutospacing="1" w:line="240" w:lineRule="auto"/>
        <w:outlineLvl w:val="0"/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36"/>
          <w:sz w:val="48"/>
          <w:szCs w:val="48"/>
          <w:lang w:eastAsia="en-GB"/>
          <w14:ligatures w14:val="none"/>
        </w:rPr>
        <w:lastRenderedPageBreak/>
        <w:t>Person Specification – Tissue Viability Nurse</w:t>
      </w:r>
    </w:p>
    <w:p w14:paraId="21BD720A" w14:textId="77777777" w:rsidR="00273360" w:rsidRPr="00273360" w:rsidRDefault="00273360" w:rsidP="0027336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Qualifications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8"/>
        <w:gridCol w:w="1250"/>
        <w:gridCol w:w="1275"/>
      </w:tblGrid>
      <w:tr w:rsidR="00273360" w:rsidRPr="00273360" w14:paraId="6D9A03BF" w14:textId="77777777" w:rsidTr="00046F13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BCCBD2D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1220" w:type="dxa"/>
            <w:vAlign w:val="center"/>
            <w:hideMark/>
          </w:tcPr>
          <w:p w14:paraId="7882557D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Essential</w:t>
            </w:r>
          </w:p>
        </w:tc>
        <w:tc>
          <w:tcPr>
            <w:tcW w:w="1230" w:type="dxa"/>
            <w:vAlign w:val="center"/>
            <w:hideMark/>
          </w:tcPr>
          <w:p w14:paraId="3B169D36" w14:textId="03531D6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Desirable</w:t>
            </w:r>
          </w:p>
        </w:tc>
      </w:tr>
      <w:tr w:rsidR="00273360" w:rsidRPr="00273360" w14:paraId="226400C2" w14:textId="77777777" w:rsidTr="0004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8E9C24" w14:textId="4CBAFA8E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First Level Registered Nurse (Adult)</w:t>
            </w:r>
          </w:p>
        </w:tc>
        <w:tc>
          <w:tcPr>
            <w:tcW w:w="1220" w:type="dxa"/>
            <w:vAlign w:val="center"/>
            <w:hideMark/>
          </w:tcPr>
          <w:p w14:paraId="2208DE55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1230" w:type="dxa"/>
            <w:vAlign w:val="center"/>
            <w:hideMark/>
          </w:tcPr>
          <w:p w14:paraId="494620C5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480CAF1E" w14:textId="77777777" w:rsidTr="0004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DC81F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Current NMC Registration</w:t>
            </w:r>
          </w:p>
        </w:tc>
        <w:tc>
          <w:tcPr>
            <w:tcW w:w="1220" w:type="dxa"/>
            <w:vAlign w:val="center"/>
            <w:hideMark/>
          </w:tcPr>
          <w:p w14:paraId="01734F91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1230" w:type="dxa"/>
            <w:vAlign w:val="center"/>
            <w:hideMark/>
          </w:tcPr>
          <w:p w14:paraId="3FC01C5B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49207F1F" w14:textId="77777777" w:rsidTr="0004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6F1F5" w14:textId="78888C64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Tissue Viability or Leg Ulcer Management Course </w:t>
            </w:r>
            <w:r w:rsidR="00046F13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 xml:space="preserve">           </w:t>
            </w:r>
          </w:p>
        </w:tc>
        <w:tc>
          <w:tcPr>
            <w:tcW w:w="1220" w:type="dxa"/>
            <w:vAlign w:val="center"/>
            <w:hideMark/>
          </w:tcPr>
          <w:p w14:paraId="049D189A" w14:textId="46B28EC4" w:rsidR="00273360" w:rsidRPr="00273360" w:rsidRDefault="00046F13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1230" w:type="dxa"/>
            <w:vAlign w:val="center"/>
            <w:hideMark/>
          </w:tcPr>
          <w:p w14:paraId="19C58232" w14:textId="5EFA62F1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40F8C766" w14:textId="77777777" w:rsidTr="0004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B9A29F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Degree level qualification or equivalent experience</w:t>
            </w:r>
          </w:p>
        </w:tc>
        <w:tc>
          <w:tcPr>
            <w:tcW w:w="1220" w:type="dxa"/>
            <w:vAlign w:val="center"/>
            <w:hideMark/>
          </w:tcPr>
          <w:p w14:paraId="32A0B037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1230" w:type="dxa"/>
            <w:vAlign w:val="center"/>
            <w:hideMark/>
          </w:tcPr>
          <w:p w14:paraId="5994EA99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15047CE9" w14:textId="77777777" w:rsidTr="00046F1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066966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Doppler ABPI competency (or willingness to complete)</w:t>
            </w:r>
          </w:p>
        </w:tc>
        <w:tc>
          <w:tcPr>
            <w:tcW w:w="1220" w:type="dxa"/>
            <w:vAlign w:val="center"/>
            <w:hideMark/>
          </w:tcPr>
          <w:p w14:paraId="4806439F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1230" w:type="dxa"/>
            <w:vAlign w:val="center"/>
            <w:hideMark/>
          </w:tcPr>
          <w:p w14:paraId="335D153C" w14:textId="269B9E1C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</w:tr>
    </w:tbl>
    <w:p w14:paraId="6838AF83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2FCDD062">
          <v:rect id="_x0000_i1031" style="width:0;height:1.5pt" o:hralign="center" o:hrstd="t" o:hr="t" fillcolor="#a0a0a0" stroked="f"/>
        </w:pict>
      </w:r>
    </w:p>
    <w:p w14:paraId="61B22F9F" w14:textId="69436157" w:rsidR="00273360" w:rsidRPr="00273360" w:rsidRDefault="00273360" w:rsidP="0027336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Experience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69"/>
        <w:gridCol w:w="958"/>
        <w:gridCol w:w="1143"/>
      </w:tblGrid>
      <w:tr w:rsidR="00273360" w:rsidRPr="00273360" w14:paraId="539508F7" w14:textId="77777777" w:rsidTr="00273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D9CA58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3D3454CE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BA63D94" w14:textId="7FAA37BC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</w:t>
            </w: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Desirable</w:t>
            </w:r>
          </w:p>
        </w:tc>
      </w:tr>
      <w:tr w:rsidR="00273360" w:rsidRPr="00273360" w14:paraId="1A32500B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85E066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Post-registration experience in wound care/tissue viability</w:t>
            </w:r>
          </w:p>
        </w:tc>
        <w:tc>
          <w:tcPr>
            <w:tcW w:w="0" w:type="auto"/>
            <w:vAlign w:val="center"/>
            <w:hideMark/>
          </w:tcPr>
          <w:p w14:paraId="05FE556B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91F8B5E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32CD42EE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586FF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Experience in Primary Care or Community setting</w:t>
            </w:r>
          </w:p>
        </w:tc>
        <w:tc>
          <w:tcPr>
            <w:tcW w:w="0" w:type="auto"/>
            <w:vAlign w:val="center"/>
            <w:hideMark/>
          </w:tcPr>
          <w:p w14:paraId="7B88A5AC" w14:textId="30C761BE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448AACD" w14:textId="6BFD9268" w:rsidR="00273360" w:rsidRPr="00273360" w:rsidRDefault="001C6647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</w:tr>
      <w:tr w:rsidR="00273360" w:rsidRPr="00273360" w14:paraId="671F2667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8D70BE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Experience managing leg ulcers and compression therapy</w:t>
            </w:r>
          </w:p>
        </w:tc>
        <w:tc>
          <w:tcPr>
            <w:tcW w:w="0" w:type="auto"/>
            <w:vAlign w:val="center"/>
            <w:hideMark/>
          </w:tcPr>
          <w:p w14:paraId="582AD90D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ED5B21E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0F3C59EC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1120D9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Experience contributing to audit or quality improvement</w:t>
            </w:r>
          </w:p>
        </w:tc>
        <w:tc>
          <w:tcPr>
            <w:tcW w:w="0" w:type="auto"/>
            <w:vAlign w:val="center"/>
            <w:hideMark/>
          </w:tcPr>
          <w:p w14:paraId="79260017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1DE7BB3" w14:textId="43DA5210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 xml:space="preserve">   </w:t>
            </w: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</w:tr>
      <w:tr w:rsidR="00273360" w:rsidRPr="00273360" w14:paraId="67FBC158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5268AF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Experience supporting or mentoring colleagues</w:t>
            </w:r>
          </w:p>
        </w:tc>
        <w:tc>
          <w:tcPr>
            <w:tcW w:w="0" w:type="auto"/>
            <w:vAlign w:val="center"/>
            <w:hideMark/>
          </w:tcPr>
          <w:p w14:paraId="0986D306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45A51AB" w14:textId="32A20B79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 xml:space="preserve">   </w:t>
            </w: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</w:tr>
    </w:tbl>
    <w:p w14:paraId="40353DF6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05BFFCD2">
          <v:rect id="_x0000_i1032" style="width:0;height:1.5pt" o:hralign="center" o:hrstd="t" o:hr="t" fillcolor="#a0a0a0" stroked="f"/>
        </w:pict>
      </w:r>
    </w:p>
    <w:p w14:paraId="5596DCE9" w14:textId="4EFF94AF" w:rsidR="00273360" w:rsidRPr="00273360" w:rsidRDefault="00273360" w:rsidP="0027336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Knowledge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36"/>
        <w:gridCol w:w="958"/>
        <w:gridCol w:w="1089"/>
      </w:tblGrid>
      <w:tr w:rsidR="00273360" w:rsidRPr="00273360" w14:paraId="2A31A8BC" w14:textId="77777777" w:rsidTr="00273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7A5A89E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4942844C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17DA3BB7" w14:textId="40291465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Desirable</w:t>
            </w:r>
          </w:p>
        </w:tc>
      </w:tr>
      <w:tr w:rsidR="00273360" w:rsidRPr="00273360" w14:paraId="3C8FFEA7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2F230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Knowledge of evidence-based wound care</w:t>
            </w:r>
          </w:p>
        </w:tc>
        <w:tc>
          <w:tcPr>
            <w:tcW w:w="0" w:type="auto"/>
            <w:vAlign w:val="center"/>
            <w:hideMark/>
          </w:tcPr>
          <w:p w14:paraId="2DB1F6A0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F4F3424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62D90EE7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2921A2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Knowledge of lower limb assessment &amp; compression therapy</w:t>
            </w:r>
          </w:p>
        </w:tc>
        <w:tc>
          <w:tcPr>
            <w:tcW w:w="0" w:type="auto"/>
            <w:vAlign w:val="center"/>
            <w:hideMark/>
          </w:tcPr>
          <w:p w14:paraId="73FC434D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FAEE021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7A3EA657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1DA79C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Understanding of anticipatory care in community settings</w:t>
            </w:r>
          </w:p>
        </w:tc>
        <w:tc>
          <w:tcPr>
            <w:tcW w:w="0" w:type="auto"/>
            <w:vAlign w:val="center"/>
            <w:hideMark/>
          </w:tcPr>
          <w:p w14:paraId="58B3D088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553C87A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023BB6CB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05662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Awareness of national tissue viability guidelines</w:t>
            </w:r>
          </w:p>
        </w:tc>
        <w:tc>
          <w:tcPr>
            <w:tcW w:w="0" w:type="auto"/>
            <w:vAlign w:val="center"/>
            <w:hideMark/>
          </w:tcPr>
          <w:p w14:paraId="667ED454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AA4757B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47E04BAF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3152C720">
          <v:rect id="_x0000_i1033" style="width:0;height:1.5pt" o:hralign="center" o:hrstd="t" o:hr="t" fillcolor="#a0a0a0" stroked="f"/>
        </w:pict>
      </w:r>
    </w:p>
    <w:p w14:paraId="02C44C6D" w14:textId="77485AE9" w:rsidR="00273360" w:rsidRPr="00273360" w:rsidRDefault="00273360" w:rsidP="0027336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Skills &amp; Attributes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2"/>
        <w:gridCol w:w="958"/>
        <w:gridCol w:w="1143"/>
      </w:tblGrid>
      <w:tr w:rsidR="00273360" w:rsidRPr="00273360" w14:paraId="37B79644" w14:textId="77777777" w:rsidTr="0027336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FB49F87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Criteria</w:t>
            </w:r>
          </w:p>
        </w:tc>
        <w:tc>
          <w:tcPr>
            <w:tcW w:w="0" w:type="auto"/>
            <w:vAlign w:val="center"/>
            <w:hideMark/>
          </w:tcPr>
          <w:p w14:paraId="0F58E526" w14:textId="77777777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Essential</w:t>
            </w:r>
          </w:p>
        </w:tc>
        <w:tc>
          <w:tcPr>
            <w:tcW w:w="0" w:type="auto"/>
            <w:vAlign w:val="center"/>
            <w:hideMark/>
          </w:tcPr>
          <w:p w14:paraId="605BAAE2" w14:textId="38AA9641" w:rsidR="00273360" w:rsidRPr="00273360" w:rsidRDefault="00273360" w:rsidP="0027336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 </w:t>
            </w:r>
            <w:r w:rsidRPr="00273360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Desirable</w:t>
            </w:r>
          </w:p>
        </w:tc>
      </w:tr>
      <w:tr w:rsidR="00273360" w:rsidRPr="00273360" w14:paraId="074CD4F0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0C7357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Ability to work independently within defined scope</w:t>
            </w:r>
          </w:p>
        </w:tc>
        <w:tc>
          <w:tcPr>
            <w:tcW w:w="0" w:type="auto"/>
            <w:vAlign w:val="center"/>
            <w:hideMark/>
          </w:tcPr>
          <w:p w14:paraId="0DB192C5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05851F3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57926CC6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19FD4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Strong clinical assessment skills</w:t>
            </w:r>
          </w:p>
        </w:tc>
        <w:tc>
          <w:tcPr>
            <w:tcW w:w="0" w:type="auto"/>
            <w:vAlign w:val="center"/>
            <w:hideMark/>
          </w:tcPr>
          <w:p w14:paraId="52AD5B09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F8A4BFF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38AA3894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63BA6D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Effective communication and interpersonal skills</w:t>
            </w:r>
          </w:p>
        </w:tc>
        <w:tc>
          <w:tcPr>
            <w:tcW w:w="0" w:type="auto"/>
            <w:vAlign w:val="center"/>
            <w:hideMark/>
          </w:tcPr>
          <w:p w14:paraId="37F3C0EA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D3C9844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116AAB1B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49515E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Ability to prioritise workload and manage time effectively</w:t>
            </w:r>
          </w:p>
        </w:tc>
        <w:tc>
          <w:tcPr>
            <w:tcW w:w="0" w:type="auto"/>
            <w:vAlign w:val="center"/>
            <w:hideMark/>
          </w:tcPr>
          <w:p w14:paraId="18C3678E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B687559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273360" w:rsidRPr="00273360" w14:paraId="085382CF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32E122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Presentation/teaching skills</w:t>
            </w:r>
          </w:p>
        </w:tc>
        <w:tc>
          <w:tcPr>
            <w:tcW w:w="0" w:type="auto"/>
            <w:vAlign w:val="center"/>
            <w:hideMark/>
          </w:tcPr>
          <w:p w14:paraId="6EF3A346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3CBB10A" w14:textId="7F99A368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 xml:space="preserve">   </w:t>
            </w: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</w:tr>
      <w:tr w:rsidR="00273360" w:rsidRPr="00273360" w14:paraId="252972D8" w14:textId="77777777" w:rsidTr="0027336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CDFF31" w14:textId="77777777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 w:rsidRPr="00273360"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  <w:t>Leadership potential</w:t>
            </w:r>
          </w:p>
        </w:tc>
        <w:tc>
          <w:tcPr>
            <w:tcW w:w="0" w:type="auto"/>
            <w:vAlign w:val="center"/>
            <w:hideMark/>
          </w:tcPr>
          <w:p w14:paraId="27C3B2ED" w14:textId="082850D1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9B3E373" w14:textId="4622978F" w:rsidR="00273360" w:rsidRPr="00273360" w:rsidRDefault="00273360" w:rsidP="00273360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 xml:space="preserve">   </w:t>
            </w:r>
            <w:r w:rsidRPr="00273360">
              <w:rPr>
                <w:rFonts w:ascii="Segoe UI Symbol" w:eastAsia="Times New Roman" w:hAnsi="Segoe UI Symbol" w:cs="Segoe UI Symbol"/>
                <w:kern w:val="0"/>
                <w:sz w:val="24"/>
                <w:szCs w:val="24"/>
                <w:lang w:eastAsia="en-GB"/>
                <w14:ligatures w14:val="none"/>
              </w:rPr>
              <w:t>✔</w:t>
            </w:r>
          </w:p>
        </w:tc>
      </w:tr>
    </w:tbl>
    <w:p w14:paraId="4227878F" w14:textId="77777777" w:rsidR="00273360" w:rsidRPr="00273360" w:rsidRDefault="00000000" w:rsidP="00273360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pict w14:anchorId="4FADF15D">
          <v:rect id="_x0000_i1034" style="width:0;height:1.5pt" o:hralign="center" o:hrstd="t" o:hr="t" fillcolor="#a0a0a0" stroked="f"/>
        </w:pict>
      </w:r>
    </w:p>
    <w:p w14:paraId="0188508B" w14:textId="77777777" w:rsidR="00273360" w:rsidRPr="00273360" w:rsidRDefault="00273360" w:rsidP="00273360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b/>
          <w:bCs/>
          <w:kern w:val="0"/>
          <w:sz w:val="36"/>
          <w:szCs w:val="36"/>
          <w:lang w:eastAsia="en-GB"/>
          <w14:ligatures w14:val="none"/>
        </w:rPr>
        <w:t>Other Requirements</w:t>
      </w:r>
    </w:p>
    <w:p w14:paraId="1F485D15" w14:textId="3880EA75" w:rsidR="006E2517" w:rsidRDefault="007064AE" w:rsidP="002733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Eligible to work in the UK</w:t>
      </w:r>
    </w:p>
    <w:p w14:paraId="6586A4EF" w14:textId="7BC7139D" w:rsidR="00273360" w:rsidRPr="00273360" w:rsidRDefault="00273360" w:rsidP="002733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Flexible working across PCN practice hours</w:t>
      </w:r>
    </w:p>
    <w:p w14:paraId="797246C1" w14:textId="77777777" w:rsidR="00273360" w:rsidRDefault="00273360" w:rsidP="002733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Ability to travel across sites</w:t>
      </w:r>
    </w:p>
    <w:p w14:paraId="74F694F5" w14:textId="51D9695A" w:rsidR="009856D6" w:rsidRPr="00273360" w:rsidRDefault="0097622F" w:rsidP="002733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UK driving license and own car</w:t>
      </w:r>
      <w:r w:rsidR="007C36B1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(mileage will be paid)</w:t>
      </w:r>
    </w:p>
    <w:p w14:paraId="30114EEE" w14:textId="77777777" w:rsidR="00273360" w:rsidRPr="00273360" w:rsidRDefault="00273360" w:rsidP="0027336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</w:pPr>
      <w:r w:rsidRPr="00273360">
        <w:rPr>
          <w:rFonts w:ascii="Calibri" w:eastAsia="Times New Roman" w:hAnsi="Calibri" w:cs="Calibri"/>
          <w:kern w:val="0"/>
          <w:sz w:val="24"/>
          <w:szCs w:val="24"/>
          <w:lang w:eastAsia="en-GB"/>
          <w14:ligatures w14:val="none"/>
        </w:rPr>
        <w:t>Enhanced DBS clearance</w:t>
      </w:r>
    </w:p>
    <w:p w14:paraId="13B21B00" w14:textId="77777777" w:rsidR="00553836" w:rsidRPr="00273360" w:rsidRDefault="00553836">
      <w:pPr>
        <w:rPr>
          <w:rFonts w:ascii="Calibri" w:hAnsi="Calibri" w:cs="Calibri"/>
        </w:rPr>
      </w:pPr>
    </w:p>
    <w:sectPr w:rsidR="00553836" w:rsidRPr="0027336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60A79" w14:textId="77777777" w:rsidR="004F53A1" w:rsidRDefault="004F53A1" w:rsidP="00810B09">
      <w:pPr>
        <w:spacing w:after="0" w:line="240" w:lineRule="auto"/>
      </w:pPr>
      <w:r>
        <w:separator/>
      </w:r>
    </w:p>
  </w:endnote>
  <w:endnote w:type="continuationSeparator" w:id="0">
    <w:p w14:paraId="59DBB86B" w14:textId="77777777" w:rsidR="004F53A1" w:rsidRDefault="004F53A1" w:rsidP="00810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645C" w14:textId="25A162F5" w:rsidR="00C207A6" w:rsidRDefault="00C207A6">
    <w:pPr>
      <w:pStyle w:val="Footer"/>
    </w:pPr>
    <w:r>
      <w:t>PCN TVN</w:t>
    </w:r>
    <w:r w:rsidR="00E27F84">
      <w:t xml:space="preserve"> [band 6] Job summary and person specification 2026</w:t>
    </w:r>
  </w:p>
  <w:p w14:paraId="668CDCAC" w14:textId="77777777" w:rsidR="00C207A6" w:rsidRDefault="00C207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9998B" w14:textId="77777777" w:rsidR="004F53A1" w:rsidRDefault="004F53A1" w:rsidP="00810B09">
      <w:pPr>
        <w:spacing w:after="0" w:line="240" w:lineRule="auto"/>
      </w:pPr>
      <w:r>
        <w:separator/>
      </w:r>
    </w:p>
  </w:footnote>
  <w:footnote w:type="continuationSeparator" w:id="0">
    <w:p w14:paraId="220E5457" w14:textId="77777777" w:rsidR="004F53A1" w:rsidRDefault="004F53A1" w:rsidP="00810B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9683615"/>
      <w:docPartObj>
        <w:docPartGallery w:val="Page Numbers (Margins)"/>
        <w:docPartUnique/>
      </w:docPartObj>
    </w:sdtPr>
    <w:sdtContent>
      <w:p w14:paraId="17D6E148" w14:textId="2A60A91D" w:rsidR="00810B09" w:rsidRDefault="00810B09">
        <w:pPr>
          <w:pStyle w:val="Head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10525B06" wp14:editId="0B046954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410636055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AB46B" w14:textId="77777777" w:rsidR="00810B09" w:rsidRDefault="00810B09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0525B06" id="Rectangle 1" o:spid="_x0000_s1026" style="position:absolute;margin-left:0;margin-top:0;width:41.95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427AB46B" w14:textId="77777777" w:rsidR="00810B09" w:rsidRDefault="00810B09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53BFD"/>
    <w:multiLevelType w:val="multilevel"/>
    <w:tmpl w:val="3B58E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E21D0"/>
    <w:multiLevelType w:val="multilevel"/>
    <w:tmpl w:val="D930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AB71D9"/>
    <w:multiLevelType w:val="multilevel"/>
    <w:tmpl w:val="CE169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286168"/>
    <w:multiLevelType w:val="multilevel"/>
    <w:tmpl w:val="60061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50F2B"/>
    <w:multiLevelType w:val="multilevel"/>
    <w:tmpl w:val="1E22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4730516">
    <w:abstractNumId w:val="2"/>
  </w:num>
  <w:num w:numId="2" w16cid:durableId="644117485">
    <w:abstractNumId w:val="4"/>
  </w:num>
  <w:num w:numId="3" w16cid:durableId="1761103007">
    <w:abstractNumId w:val="0"/>
  </w:num>
  <w:num w:numId="4" w16cid:durableId="1898779227">
    <w:abstractNumId w:val="1"/>
  </w:num>
  <w:num w:numId="5" w16cid:durableId="14492776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360"/>
    <w:rsid w:val="00021470"/>
    <w:rsid w:val="000448D8"/>
    <w:rsid w:val="00046F13"/>
    <w:rsid w:val="0007063C"/>
    <w:rsid w:val="000B4312"/>
    <w:rsid w:val="001C6647"/>
    <w:rsid w:val="00247E0C"/>
    <w:rsid w:val="00255BD5"/>
    <w:rsid w:val="00256CAB"/>
    <w:rsid w:val="00273360"/>
    <w:rsid w:val="002D3388"/>
    <w:rsid w:val="00377269"/>
    <w:rsid w:val="004B73A3"/>
    <w:rsid w:val="004F53A1"/>
    <w:rsid w:val="00536181"/>
    <w:rsid w:val="00553836"/>
    <w:rsid w:val="00560EFC"/>
    <w:rsid w:val="00566165"/>
    <w:rsid w:val="00595673"/>
    <w:rsid w:val="005D7F2D"/>
    <w:rsid w:val="006310BB"/>
    <w:rsid w:val="006345E4"/>
    <w:rsid w:val="006925FD"/>
    <w:rsid w:val="006E2517"/>
    <w:rsid w:val="007064AE"/>
    <w:rsid w:val="007C36B1"/>
    <w:rsid w:val="00810B09"/>
    <w:rsid w:val="00912E65"/>
    <w:rsid w:val="009412D0"/>
    <w:rsid w:val="00972875"/>
    <w:rsid w:val="0097622F"/>
    <w:rsid w:val="009856D6"/>
    <w:rsid w:val="009B5D94"/>
    <w:rsid w:val="009F2ECE"/>
    <w:rsid w:val="00B117D7"/>
    <w:rsid w:val="00B165EC"/>
    <w:rsid w:val="00BE5968"/>
    <w:rsid w:val="00C207A6"/>
    <w:rsid w:val="00C93CE2"/>
    <w:rsid w:val="00CA1C91"/>
    <w:rsid w:val="00CD2801"/>
    <w:rsid w:val="00D45FF1"/>
    <w:rsid w:val="00E27F84"/>
    <w:rsid w:val="00F3722F"/>
    <w:rsid w:val="00F51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85C46"/>
  <w15:chartTrackingRefBased/>
  <w15:docId w15:val="{E56E8A37-1880-4833-A538-935E4713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3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33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33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33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33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33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33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33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33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33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33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33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33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33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33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33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33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33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33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33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33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33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33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33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33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33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33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33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336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1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0B09"/>
  </w:style>
  <w:style w:type="paragraph" w:styleId="Footer">
    <w:name w:val="footer"/>
    <w:basedOn w:val="Normal"/>
    <w:link w:val="FooterChar"/>
    <w:uiPriority w:val="99"/>
    <w:unhideWhenUsed/>
    <w:rsid w:val="00810B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B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8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74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5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48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4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787</Words>
  <Characters>4490</Characters>
  <Application>Microsoft Office Word</Application>
  <DocSecurity>0</DocSecurity>
  <Lines>37</Lines>
  <Paragraphs>10</Paragraphs>
  <ScaleCrop>false</ScaleCrop>
  <Company>NHS</Company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PARKER, Jane (BURNHAM SURGERY)</dc:creator>
  <cp:keywords/>
  <dc:description/>
  <cp:lastModifiedBy>PARKER, Jane (BURNHAM SURGERY)</cp:lastModifiedBy>
  <cp:revision>38</cp:revision>
  <dcterms:created xsi:type="dcterms:W3CDTF">2026-02-19T10:33:00Z</dcterms:created>
  <dcterms:modified xsi:type="dcterms:W3CDTF">2026-03-09T11:12:00Z</dcterms:modified>
</cp:coreProperties>
</file>