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A3174" w14:textId="77777777" w:rsidR="00C65C2F" w:rsidRPr="00C65C2F" w:rsidRDefault="00C65C2F" w:rsidP="00C65C2F">
      <w:pPr>
        <w:shd w:val="clear" w:color="auto" w:fill="F0F4F5"/>
        <w:spacing w:after="360" w:line="240" w:lineRule="auto"/>
        <w:outlineLvl w:val="1"/>
        <w:rPr>
          <w:rFonts w:ascii="Arial" w:eastAsia="Times New Roman" w:hAnsi="Arial" w:cs="Arial"/>
          <w:b/>
          <w:bCs/>
          <w:color w:val="212B32"/>
          <w:sz w:val="36"/>
          <w:szCs w:val="36"/>
          <w:lang w:eastAsia="en-GB"/>
        </w:rPr>
      </w:pPr>
      <w:r w:rsidRPr="00C65C2F">
        <w:rPr>
          <w:rFonts w:ascii="Arial" w:eastAsia="Times New Roman" w:hAnsi="Arial" w:cs="Arial"/>
          <w:b/>
          <w:bCs/>
          <w:color w:val="212B32"/>
          <w:sz w:val="36"/>
          <w:szCs w:val="36"/>
          <w:lang w:eastAsia="en-GB"/>
        </w:rPr>
        <w:t>Job description</w:t>
      </w:r>
    </w:p>
    <w:p w14:paraId="0EE80D8E" w14:textId="77777777" w:rsidR="00C65C2F" w:rsidRPr="00C65C2F" w:rsidRDefault="00C65C2F" w:rsidP="00C65C2F">
      <w:pPr>
        <w:shd w:val="clear" w:color="auto" w:fill="F0F4F5"/>
        <w:spacing w:after="360" w:line="240" w:lineRule="auto"/>
        <w:outlineLvl w:val="2"/>
        <w:rPr>
          <w:rFonts w:ascii="Arial" w:eastAsia="Times New Roman" w:hAnsi="Arial" w:cs="Arial"/>
          <w:b/>
          <w:bCs/>
          <w:color w:val="212B32"/>
          <w:sz w:val="27"/>
          <w:szCs w:val="27"/>
          <w:lang w:eastAsia="en-GB"/>
        </w:rPr>
      </w:pPr>
      <w:r w:rsidRPr="00C65C2F">
        <w:rPr>
          <w:rFonts w:ascii="Arial" w:eastAsia="Times New Roman" w:hAnsi="Arial" w:cs="Arial"/>
          <w:b/>
          <w:bCs/>
          <w:color w:val="212B32"/>
          <w:sz w:val="27"/>
          <w:szCs w:val="27"/>
          <w:lang w:eastAsia="en-GB"/>
        </w:rPr>
        <w:t>Job responsibilities</w:t>
      </w:r>
    </w:p>
    <w:p w14:paraId="775CAEF7" w14:textId="77777777" w:rsidR="00C65C2F" w:rsidRPr="00C65C2F" w:rsidRDefault="00C65C2F" w:rsidP="00C65C2F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The role involves managing administrative functions, assisting with finance and HR, and supporting the implementation of NHS policies and procedures.</w:t>
      </w:r>
    </w:p>
    <w:p w14:paraId="39B12447" w14:textId="77777777" w:rsidR="00C65C2F" w:rsidRPr="00C65C2F" w:rsidRDefault="00C65C2F" w:rsidP="00C65C2F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Key Responsibilities:</w:t>
      </w:r>
    </w:p>
    <w:p w14:paraId="5BC99D05" w14:textId="77777777" w:rsidR="00C65C2F" w:rsidRPr="00C65C2F" w:rsidRDefault="00C65C2F" w:rsidP="00C65C2F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1. Practice Operations &amp; Administration</w:t>
      </w:r>
    </w:p>
    <w:p w14:paraId="6099B1DD" w14:textId="77777777" w:rsidR="00C65C2F" w:rsidRPr="00C65C2F" w:rsidRDefault="00C65C2F" w:rsidP="00C65C2F">
      <w:pPr>
        <w:numPr>
          <w:ilvl w:val="0"/>
          <w:numId w:val="1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Support the </w:t>
      </w: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Practice Manager</w:t>
      </w: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 in the daily management of the surgery.</w:t>
      </w:r>
    </w:p>
    <w:p w14:paraId="03495E74" w14:textId="77777777" w:rsidR="00C65C2F" w:rsidRDefault="00C65C2F" w:rsidP="00C65C2F">
      <w:pPr>
        <w:numPr>
          <w:ilvl w:val="0"/>
          <w:numId w:val="1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Ensure smooth running of reception, patient appointments, and administrative tasks.</w:t>
      </w:r>
    </w:p>
    <w:p w14:paraId="30B94296" w14:textId="77777777" w:rsidR="00C65C2F" w:rsidRPr="00C65C2F" w:rsidRDefault="00C65C2F" w:rsidP="00C65C2F">
      <w:pPr>
        <w:numPr>
          <w:ilvl w:val="0"/>
          <w:numId w:val="1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Rota's- complete Rota's for the reception team and for the clinical team. </w:t>
      </w:r>
    </w:p>
    <w:p w14:paraId="4E3C420B" w14:textId="77777777" w:rsidR="00C65C2F" w:rsidRPr="00C65C2F" w:rsidRDefault="00C65C2F" w:rsidP="00C65C2F">
      <w:pPr>
        <w:numPr>
          <w:ilvl w:val="0"/>
          <w:numId w:val="1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Maintain an efficient </w:t>
      </w: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appointment system</w:t>
      </w: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, reducing waiting times and improving access to care.</w:t>
      </w:r>
    </w:p>
    <w:p w14:paraId="78BE90C3" w14:textId="77777777" w:rsidR="00C65C2F" w:rsidRPr="00C65C2F" w:rsidRDefault="00C65C2F" w:rsidP="00C65C2F">
      <w:pPr>
        <w:numPr>
          <w:ilvl w:val="0"/>
          <w:numId w:val="1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Oversee medical records management, ensuring compliance with </w:t>
      </w: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GDPR</w:t>
      </w: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 and </w:t>
      </w: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NHS Digital</w:t>
      </w: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 guidelines.</w:t>
      </w:r>
    </w:p>
    <w:p w14:paraId="41C470D7" w14:textId="77777777" w:rsidR="00C65C2F" w:rsidRDefault="00C65C2F" w:rsidP="00C65C2F">
      <w:pPr>
        <w:numPr>
          <w:ilvl w:val="0"/>
          <w:numId w:val="1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Act as a point of contact for operational queries from staff and external stakeholders.</w:t>
      </w:r>
    </w:p>
    <w:p w14:paraId="7499F6DF" w14:textId="77777777" w:rsidR="00FD64D7" w:rsidRPr="00C65C2F" w:rsidRDefault="00FD64D7" w:rsidP="00FD64D7">
      <w:pPr>
        <w:shd w:val="clear" w:color="auto" w:fill="F0F4F5"/>
        <w:spacing w:before="100" w:beforeAutospacing="1" w:after="0" w:line="240" w:lineRule="auto"/>
        <w:ind w:left="720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</w:p>
    <w:p w14:paraId="2829C671" w14:textId="77777777" w:rsidR="00C65C2F" w:rsidRPr="00C65C2F" w:rsidRDefault="00C65C2F" w:rsidP="00C65C2F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2. Patient Services &amp; Experience</w:t>
      </w:r>
    </w:p>
    <w:p w14:paraId="65AEAAD3" w14:textId="77777777" w:rsidR="00C65C2F" w:rsidRPr="00C65C2F" w:rsidRDefault="00C65C2F" w:rsidP="00C65C2F">
      <w:pPr>
        <w:numPr>
          <w:ilvl w:val="0"/>
          <w:numId w:val="2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Ensure high standards of </w:t>
      </w: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patient care, accessibility, and confidentiality</w:t>
      </w: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.</w:t>
      </w:r>
    </w:p>
    <w:p w14:paraId="78DC4F51" w14:textId="77777777" w:rsidR="00C65C2F" w:rsidRPr="00C65C2F" w:rsidRDefault="00C65C2F" w:rsidP="00C65C2F">
      <w:pPr>
        <w:numPr>
          <w:ilvl w:val="0"/>
          <w:numId w:val="2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Address patient feedback and complaints in line with NHS procedures.</w:t>
      </w:r>
    </w:p>
    <w:p w14:paraId="36DBE17E" w14:textId="77777777" w:rsidR="00C65C2F" w:rsidRPr="00C65C2F" w:rsidRDefault="00C65C2F" w:rsidP="00C65C2F">
      <w:pPr>
        <w:numPr>
          <w:ilvl w:val="0"/>
          <w:numId w:val="2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Support </w:t>
      </w: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Patient Participation Groups (PPGs)</w:t>
      </w: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 and other engagement activities.</w:t>
      </w:r>
    </w:p>
    <w:p w14:paraId="2C667D69" w14:textId="77777777" w:rsidR="00C65C2F" w:rsidRDefault="00C65C2F" w:rsidP="00C65C2F">
      <w:pPr>
        <w:numPr>
          <w:ilvl w:val="0"/>
          <w:numId w:val="2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Work with the team to improve the scores and patient satisfaction of</w:t>
      </w: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 Friends &amp; Family Test (FFT)</w:t>
      </w: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.</w:t>
      </w:r>
    </w:p>
    <w:p w14:paraId="207972F9" w14:textId="77777777" w:rsidR="00FD64D7" w:rsidRPr="00C65C2F" w:rsidRDefault="00FD64D7" w:rsidP="00FD64D7">
      <w:pPr>
        <w:shd w:val="clear" w:color="auto" w:fill="F0F4F5"/>
        <w:spacing w:before="100" w:beforeAutospacing="1" w:after="0" w:line="240" w:lineRule="auto"/>
        <w:ind w:left="720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</w:p>
    <w:p w14:paraId="72E5E86D" w14:textId="77777777" w:rsidR="00C65C2F" w:rsidRPr="00C65C2F" w:rsidRDefault="00C65C2F" w:rsidP="00C65C2F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3. HR &amp; Staff Management</w:t>
      </w:r>
    </w:p>
    <w:p w14:paraId="7912A225" w14:textId="77777777" w:rsidR="00C65C2F" w:rsidRPr="00C65C2F" w:rsidRDefault="00C65C2F" w:rsidP="00C65C2F">
      <w:pPr>
        <w:numPr>
          <w:ilvl w:val="0"/>
          <w:numId w:val="3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Assist in the </w:t>
      </w: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recruitment, induction, and training</w:t>
      </w: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 of administrative and support staff.</w:t>
      </w:r>
    </w:p>
    <w:p w14:paraId="5AE34BB8" w14:textId="77777777" w:rsidR="00C65C2F" w:rsidRPr="00C65C2F" w:rsidRDefault="00C65C2F" w:rsidP="00C65C2F">
      <w:pPr>
        <w:numPr>
          <w:ilvl w:val="0"/>
          <w:numId w:val="3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Provide </w:t>
      </w: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day-to-day supervision</w:t>
      </w: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 of reception and admin teams.</w:t>
      </w:r>
    </w:p>
    <w:p w14:paraId="5CDCA96F" w14:textId="77777777" w:rsidR="00C65C2F" w:rsidRPr="00C65C2F" w:rsidRDefault="00C65C2F" w:rsidP="00C65C2F">
      <w:pPr>
        <w:numPr>
          <w:ilvl w:val="0"/>
          <w:numId w:val="3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Support staff appraisals, manage rotas, and oversee absence management.</w:t>
      </w:r>
    </w:p>
    <w:p w14:paraId="185CEE21" w14:textId="77777777" w:rsidR="00C65C2F" w:rsidRDefault="00C65C2F" w:rsidP="00C65C2F">
      <w:pPr>
        <w:numPr>
          <w:ilvl w:val="0"/>
          <w:numId w:val="3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Ensure staff adhere to NHS policies, </w:t>
      </w: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infection control</w:t>
      </w: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, and </w:t>
      </w: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health &amp; safety</w:t>
      </w: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 regulations.</w:t>
      </w:r>
    </w:p>
    <w:p w14:paraId="22B93450" w14:textId="77777777" w:rsidR="00FD64D7" w:rsidRPr="00C65C2F" w:rsidRDefault="00FD64D7" w:rsidP="00FD64D7">
      <w:pPr>
        <w:shd w:val="clear" w:color="auto" w:fill="F0F4F5"/>
        <w:spacing w:before="100" w:beforeAutospacing="1" w:after="0" w:line="240" w:lineRule="auto"/>
        <w:ind w:left="720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</w:p>
    <w:p w14:paraId="4028238E" w14:textId="77777777" w:rsidR="00C65C2F" w:rsidRPr="00C65C2F" w:rsidRDefault="00C65C2F" w:rsidP="00C65C2F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4. Finance &amp; Resource Management</w:t>
      </w:r>
    </w:p>
    <w:p w14:paraId="5EE8E7EF" w14:textId="77777777" w:rsidR="00C65C2F" w:rsidRPr="00C65C2F" w:rsidRDefault="00C65C2F" w:rsidP="00C65C2F">
      <w:pPr>
        <w:numPr>
          <w:ilvl w:val="0"/>
          <w:numId w:val="4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Assist with payroll, invoice processing, and financial reporting.</w:t>
      </w:r>
    </w:p>
    <w:p w14:paraId="2816A480" w14:textId="77777777" w:rsidR="00C65C2F" w:rsidRPr="00C65C2F" w:rsidRDefault="00C65C2F" w:rsidP="00C65C2F">
      <w:pPr>
        <w:numPr>
          <w:ilvl w:val="0"/>
          <w:numId w:val="4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Monitor budgets, expenses, and procurement of supplies.</w:t>
      </w:r>
    </w:p>
    <w:p w14:paraId="07B192D4" w14:textId="77777777" w:rsidR="00C65C2F" w:rsidRDefault="00C65C2F" w:rsidP="00C65C2F">
      <w:pPr>
        <w:numPr>
          <w:ilvl w:val="0"/>
          <w:numId w:val="4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Ensure proper management of </w:t>
      </w: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enhanced services</w:t>
      </w: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 and funding claims.</w:t>
      </w:r>
    </w:p>
    <w:p w14:paraId="6A90E693" w14:textId="77777777" w:rsidR="00FD64D7" w:rsidRPr="00C65C2F" w:rsidRDefault="00FD64D7" w:rsidP="00FD64D7">
      <w:pPr>
        <w:shd w:val="clear" w:color="auto" w:fill="F0F4F5"/>
        <w:spacing w:before="100" w:beforeAutospacing="1" w:after="0" w:line="240" w:lineRule="auto"/>
        <w:ind w:left="720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</w:p>
    <w:p w14:paraId="425A77B4" w14:textId="77777777" w:rsidR="00C65C2F" w:rsidRPr="00C65C2F" w:rsidRDefault="00C65C2F" w:rsidP="00C65C2F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5. Compliance &amp; Governance</w:t>
      </w:r>
    </w:p>
    <w:p w14:paraId="23AF0012" w14:textId="77777777" w:rsidR="00C65C2F" w:rsidRPr="00C65C2F" w:rsidRDefault="00C65C2F" w:rsidP="00C65C2F">
      <w:pPr>
        <w:numPr>
          <w:ilvl w:val="0"/>
          <w:numId w:val="5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Ensure practice adherence to </w:t>
      </w: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CQC (Care Quality Commission) standards</w:t>
      </w: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 and prepare for inspections.</w:t>
      </w:r>
    </w:p>
    <w:p w14:paraId="0BA2778D" w14:textId="77777777" w:rsidR="00C65C2F" w:rsidRPr="00C65C2F" w:rsidRDefault="00C65C2F" w:rsidP="00C65C2F">
      <w:pPr>
        <w:numPr>
          <w:ilvl w:val="0"/>
          <w:numId w:val="5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Monitor compliance with </w:t>
      </w: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NHS policies, safeguarding protocols, and infection prevention</w:t>
      </w: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.</w:t>
      </w:r>
    </w:p>
    <w:p w14:paraId="72D11ADC" w14:textId="77777777" w:rsidR="00C65C2F" w:rsidRPr="00C65C2F" w:rsidRDefault="00C65C2F" w:rsidP="00C65C2F">
      <w:pPr>
        <w:numPr>
          <w:ilvl w:val="0"/>
          <w:numId w:val="5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Maintain up-to-date </w:t>
      </w: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Standard Operating Procedures (SOPs)</w:t>
      </w: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 and policies.</w:t>
      </w:r>
    </w:p>
    <w:p w14:paraId="5B00646E" w14:textId="77777777" w:rsidR="00C65C2F" w:rsidRDefault="00C65C2F" w:rsidP="00C65C2F">
      <w:pPr>
        <w:numPr>
          <w:ilvl w:val="0"/>
          <w:numId w:val="5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Assist with data protection and confidentiality requirements under </w:t>
      </w: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GDPR</w:t>
      </w: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 and </w:t>
      </w:r>
      <w:r w:rsidRPr="00C65C2F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Caldicott Principles</w:t>
      </w:r>
      <w:r w:rsidRPr="00C65C2F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.</w:t>
      </w:r>
    </w:p>
    <w:p w14:paraId="3919A934" w14:textId="77777777" w:rsidR="00C56BAD" w:rsidRDefault="00C56BAD" w:rsidP="00C56BAD">
      <w:p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This list is not exhaustive, and you may be required to perform other duties outside of your role as the practice needs. </w:t>
      </w:r>
    </w:p>
    <w:p w14:paraId="116679B4" w14:textId="77777777" w:rsidR="00773665" w:rsidRDefault="00773665"/>
    <w:sectPr w:rsidR="00773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267A"/>
    <w:multiLevelType w:val="multilevel"/>
    <w:tmpl w:val="BFA8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056A1C"/>
    <w:multiLevelType w:val="multilevel"/>
    <w:tmpl w:val="E84C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137563"/>
    <w:multiLevelType w:val="multilevel"/>
    <w:tmpl w:val="725C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7E0A36"/>
    <w:multiLevelType w:val="multilevel"/>
    <w:tmpl w:val="EA0A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5419FC"/>
    <w:multiLevelType w:val="multilevel"/>
    <w:tmpl w:val="1BF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4A46F7"/>
    <w:multiLevelType w:val="multilevel"/>
    <w:tmpl w:val="58F2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504F3A"/>
    <w:multiLevelType w:val="multilevel"/>
    <w:tmpl w:val="5906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8824240">
    <w:abstractNumId w:val="1"/>
  </w:num>
  <w:num w:numId="2" w16cid:durableId="762215992">
    <w:abstractNumId w:val="0"/>
  </w:num>
  <w:num w:numId="3" w16cid:durableId="523901872">
    <w:abstractNumId w:val="4"/>
  </w:num>
  <w:num w:numId="4" w16cid:durableId="895287471">
    <w:abstractNumId w:val="6"/>
  </w:num>
  <w:num w:numId="5" w16cid:durableId="1291279679">
    <w:abstractNumId w:val="3"/>
  </w:num>
  <w:num w:numId="6" w16cid:durableId="2050839247">
    <w:abstractNumId w:val="2"/>
  </w:num>
  <w:num w:numId="7" w16cid:durableId="157425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2F"/>
    <w:rsid w:val="000C33FA"/>
    <w:rsid w:val="00773665"/>
    <w:rsid w:val="00C56BAD"/>
    <w:rsid w:val="00C65C2F"/>
    <w:rsid w:val="00E06B4C"/>
    <w:rsid w:val="00F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B143D"/>
  <w15:chartTrackingRefBased/>
  <w15:docId w15:val="{9AFC143C-48EC-41F4-A4EA-F1E66EB2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5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65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65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65C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C2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65C2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65C2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65C2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nhsuk-u-visually-hidden">
    <w:name w:val="nhsuk-u-visually-hidden"/>
    <w:basedOn w:val="DefaultParagraphFont"/>
    <w:rsid w:val="00C65C2F"/>
  </w:style>
  <w:style w:type="paragraph" w:customStyle="1" w:styleId="closing-date">
    <w:name w:val="closing-date"/>
    <w:basedOn w:val="Normal"/>
    <w:rsid w:val="00C6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65C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hsuk-u-margin-bottom-2">
    <w:name w:val="nhsuk-u-margin-bottom-2"/>
    <w:basedOn w:val="Normal"/>
    <w:rsid w:val="00C6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6601">
              <w:marLeft w:val="0"/>
              <w:marRight w:val="0"/>
              <w:marTop w:val="720"/>
              <w:marBottom w:val="375"/>
              <w:divBdr>
                <w:top w:val="none" w:sz="0" w:space="0" w:color="auto"/>
                <w:left w:val="single" w:sz="48" w:space="13" w:color="005EB8"/>
                <w:bottom w:val="none" w:sz="0" w:space="0" w:color="auto"/>
                <w:right w:val="none" w:sz="0" w:space="0" w:color="auto"/>
              </w:divBdr>
            </w:div>
          </w:divsChild>
        </w:div>
        <w:div w:id="20854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Minshull</dc:creator>
  <cp:keywords/>
  <dc:description/>
  <cp:lastModifiedBy>Boxall, Sarah (Primary Care Careers)</cp:lastModifiedBy>
  <cp:revision>2</cp:revision>
  <dcterms:created xsi:type="dcterms:W3CDTF">2025-08-28T11:21:00Z</dcterms:created>
  <dcterms:modified xsi:type="dcterms:W3CDTF">2025-08-28T11:21:00Z</dcterms:modified>
</cp:coreProperties>
</file>